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3730CA" w:rsidP="00595C61">
      <w:pPr>
        <w:ind w:left="360"/>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95pt;height:59.1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746428" w:rsidP="00595C61">
      <w:pPr>
        <w:tabs>
          <w:tab w:val="left" w:pos="1980"/>
        </w:tabs>
        <w:jc w:val="center"/>
        <w:rPr>
          <w:b/>
          <w:bCs/>
          <w:color w:val="0000FF"/>
        </w:rPr>
      </w:pPr>
      <w:r>
        <w:rPr>
          <w:b/>
          <w:bCs/>
          <w:color w:val="0000FF"/>
        </w:rPr>
        <w:t>October 1</w:t>
      </w:r>
      <w:r w:rsidR="003C5051">
        <w:rPr>
          <w:b/>
          <w:bCs/>
          <w:color w:val="0000FF"/>
        </w:rPr>
        <w:t>, 2013</w:t>
      </w:r>
      <w:r w:rsidR="00595C61">
        <w:rPr>
          <w:b/>
          <w:bCs/>
          <w:color w:val="0000FF"/>
        </w:rPr>
        <w:t xml:space="preserve">, </w:t>
      </w:r>
      <w:r>
        <w:rPr>
          <w:b/>
          <w:bCs/>
          <w:color w:val="0000FF"/>
        </w:rPr>
        <w:t>8</w:t>
      </w:r>
      <w:r w:rsidR="00E8053D">
        <w:rPr>
          <w:b/>
          <w:bCs/>
          <w:color w:val="0000FF"/>
        </w:rPr>
        <w:t>:00-</w:t>
      </w:r>
      <w:r>
        <w:rPr>
          <w:b/>
          <w:bCs/>
          <w:color w:val="0000FF"/>
        </w:rPr>
        <w:t>12</w:t>
      </w:r>
      <w:r w:rsidR="00E8053D">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672F05" w:rsidRDefault="00421B3A" w:rsidP="00EE0048">
            <w:pPr>
              <w:rPr>
                <w:sz w:val="20"/>
                <w:szCs w:val="20"/>
              </w:rPr>
            </w:pPr>
            <w:r>
              <w:rPr>
                <w:sz w:val="20"/>
                <w:szCs w:val="20"/>
              </w:rPr>
              <w:t>Beth Lofquist, Brian Railsback, Darrell Parker</w:t>
            </w:r>
            <w:r w:rsidR="00906E21">
              <w:rPr>
                <w:sz w:val="20"/>
                <w:szCs w:val="20"/>
              </w:rPr>
              <w:t>, Robert Kehrberg, Richard Starnes</w:t>
            </w:r>
            <w:r w:rsidR="00A00F0A">
              <w:rPr>
                <w:sz w:val="20"/>
                <w:szCs w:val="20"/>
              </w:rPr>
              <w:t xml:space="preserve">, Susan Fouts, Dana Sally, </w:t>
            </w:r>
            <w:r w:rsidR="00F5683B">
              <w:rPr>
                <w:sz w:val="20"/>
                <w:szCs w:val="20"/>
              </w:rPr>
              <w:t xml:space="preserve">Doug Keskula, Lowell Davis, </w:t>
            </w:r>
            <w:r w:rsidR="001717A0">
              <w:rPr>
                <w:sz w:val="20"/>
                <w:szCs w:val="20"/>
              </w:rPr>
              <w:t>Dale Carpenter</w:t>
            </w:r>
            <w:r w:rsidR="007A2885">
              <w:rPr>
                <w:sz w:val="20"/>
                <w:szCs w:val="20"/>
              </w:rPr>
              <w:t>, Mimi Fenton, Carol Burton, James Zhang</w:t>
            </w:r>
          </w:p>
          <w:p w:rsidR="007A2885" w:rsidRPr="00672F05" w:rsidRDefault="007A2885" w:rsidP="00EE0048">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672F05" w:rsidRDefault="00906E21" w:rsidP="00FC6286">
            <w:pPr>
              <w:tabs>
                <w:tab w:val="left" w:pos="1980"/>
                <w:tab w:val="left" w:pos="2160"/>
              </w:tabs>
              <w:rPr>
                <w:sz w:val="20"/>
                <w:szCs w:val="20"/>
              </w:rPr>
            </w:pPr>
            <w:r>
              <w:rPr>
                <w:sz w:val="20"/>
                <w:szCs w:val="20"/>
              </w:rPr>
              <w:t>Greg Hodges</w:t>
            </w: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6E7ADC" w:rsidRDefault="006E7ADC"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6E7ADC" w:rsidTr="006E7ADC">
        <w:tc>
          <w:tcPr>
            <w:tcW w:w="2088" w:type="dxa"/>
          </w:tcPr>
          <w:p w:rsidR="006E7ADC" w:rsidRDefault="006210E0" w:rsidP="00595C61">
            <w:pPr>
              <w:rPr>
                <w:b/>
                <w:color w:val="0000FF"/>
                <w:sz w:val="20"/>
                <w:szCs w:val="20"/>
              </w:rPr>
            </w:pPr>
            <w:r>
              <w:rPr>
                <w:b/>
                <w:color w:val="0000FF"/>
                <w:sz w:val="20"/>
                <w:szCs w:val="20"/>
              </w:rPr>
              <w:t>Logos (Beth Lofquist)</w:t>
            </w:r>
          </w:p>
        </w:tc>
        <w:tc>
          <w:tcPr>
            <w:tcW w:w="6768" w:type="dxa"/>
          </w:tcPr>
          <w:p w:rsidR="006E7ADC" w:rsidRDefault="006210E0" w:rsidP="00595C61">
            <w:pPr>
              <w:rPr>
                <w:sz w:val="20"/>
                <w:szCs w:val="20"/>
              </w:rPr>
            </w:pPr>
            <w:r>
              <w:rPr>
                <w:sz w:val="20"/>
                <w:szCs w:val="20"/>
              </w:rPr>
              <w:t xml:space="preserve">Beth distributed a handout of approved logos for WCU.  Please adhere to these guidelines.  </w:t>
            </w:r>
            <w:r w:rsidR="009C72B0">
              <w:rPr>
                <w:sz w:val="20"/>
                <w:szCs w:val="20"/>
              </w:rPr>
              <w:t xml:space="preserve">No new logos are to be developed for programs/units at WCU. </w:t>
            </w:r>
            <w:r>
              <w:rPr>
                <w:sz w:val="20"/>
                <w:szCs w:val="20"/>
              </w:rPr>
              <w:t>If you have any questions, please see Rubae Schoen.</w:t>
            </w:r>
          </w:p>
          <w:p w:rsidR="006210E0" w:rsidRPr="006E7ADC" w:rsidRDefault="006210E0" w:rsidP="00595C61">
            <w:pPr>
              <w:rPr>
                <w:sz w:val="20"/>
                <w:szCs w:val="20"/>
              </w:rPr>
            </w:pPr>
          </w:p>
        </w:tc>
      </w:tr>
      <w:tr w:rsidR="00240BE6" w:rsidTr="006E7ADC">
        <w:tc>
          <w:tcPr>
            <w:tcW w:w="2088" w:type="dxa"/>
          </w:tcPr>
          <w:p w:rsidR="00240BE6" w:rsidRDefault="00240BE6" w:rsidP="00595C61">
            <w:pPr>
              <w:rPr>
                <w:b/>
                <w:color w:val="0000FF"/>
                <w:sz w:val="20"/>
                <w:szCs w:val="20"/>
              </w:rPr>
            </w:pPr>
            <w:r>
              <w:rPr>
                <w:b/>
                <w:color w:val="0000FF"/>
                <w:sz w:val="20"/>
                <w:szCs w:val="20"/>
              </w:rPr>
              <w:t>Risk Register</w:t>
            </w:r>
          </w:p>
        </w:tc>
        <w:tc>
          <w:tcPr>
            <w:tcW w:w="6768" w:type="dxa"/>
          </w:tcPr>
          <w:p w:rsidR="00240BE6" w:rsidRPr="0053234E" w:rsidRDefault="00240BE6" w:rsidP="00240BE6">
            <w:pPr>
              <w:tabs>
                <w:tab w:val="right" w:pos="480"/>
                <w:tab w:val="left" w:pos="720"/>
              </w:tabs>
              <w:rPr>
                <w:bCs/>
                <w:sz w:val="20"/>
                <w:szCs w:val="20"/>
              </w:rPr>
            </w:pPr>
            <w:r>
              <w:rPr>
                <w:bCs/>
                <w:sz w:val="20"/>
                <w:szCs w:val="20"/>
              </w:rPr>
              <w:t>Beth distributed a handout for COD review.  B</w:t>
            </w:r>
            <w:r w:rsidRPr="0053234E">
              <w:rPr>
                <w:bCs/>
                <w:sz w:val="20"/>
                <w:szCs w:val="20"/>
              </w:rPr>
              <w:t>y Oct</w:t>
            </w:r>
            <w:r>
              <w:rPr>
                <w:bCs/>
                <w:sz w:val="20"/>
                <w:szCs w:val="20"/>
              </w:rPr>
              <w:t>ober</w:t>
            </w:r>
            <w:r w:rsidRPr="0053234E">
              <w:rPr>
                <w:bCs/>
                <w:sz w:val="20"/>
                <w:szCs w:val="20"/>
              </w:rPr>
              <w:t xml:space="preserve"> 29</w:t>
            </w:r>
            <w:r w:rsidRPr="00240BE6">
              <w:rPr>
                <w:bCs/>
                <w:sz w:val="20"/>
                <w:szCs w:val="20"/>
                <w:vertAlign w:val="superscript"/>
              </w:rPr>
              <w:t>th</w:t>
            </w:r>
            <w:r>
              <w:rPr>
                <w:bCs/>
                <w:sz w:val="20"/>
                <w:szCs w:val="20"/>
              </w:rPr>
              <w:t xml:space="preserve"> we</w:t>
            </w:r>
            <w:r w:rsidRPr="0053234E">
              <w:rPr>
                <w:bCs/>
                <w:sz w:val="20"/>
                <w:szCs w:val="20"/>
              </w:rPr>
              <w:t xml:space="preserve"> ne</w:t>
            </w:r>
            <w:r>
              <w:rPr>
                <w:bCs/>
                <w:sz w:val="20"/>
                <w:szCs w:val="20"/>
              </w:rPr>
              <w:t xml:space="preserve">ed to rank list </w:t>
            </w:r>
            <w:r w:rsidR="00583FD0">
              <w:rPr>
                <w:bCs/>
                <w:sz w:val="20"/>
                <w:szCs w:val="20"/>
              </w:rPr>
              <w:t xml:space="preserve">risks </w:t>
            </w:r>
            <w:r>
              <w:rPr>
                <w:bCs/>
                <w:sz w:val="20"/>
                <w:szCs w:val="20"/>
              </w:rPr>
              <w:t>and submit to Executive C</w:t>
            </w:r>
            <w:r w:rsidRPr="0053234E">
              <w:rPr>
                <w:bCs/>
                <w:sz w:val="20"/>
                <w:szCs w:val="20"/>
              </w:rPr>
              <w:t xml:space="preserve">ouncil for a university ranking.  </w:t>
            </w:r>
            <w:r>
              <w:rPr>
                <w:bCs/>
                <w:sz w:val="20"/>
                <w:szCs w:val="20"/>
              </w:rPr>
              <w:t>We must</w:t>
            </w:r>
            <w:r w:rsidRPr="0053234E">
              <w:rPr>
                <w:bCs/>
                <w:sz w:val="20"/>
                <w:szCs w:val="20"/>
              </w:rPr>
              <w:t xml:space="preserve"> rank the probability of risk </w:t>
            </w:r>
            <w:r>
              <w:rPr>
                <w:bCs/>
                <w:sz w:val="20"/>
                <w:szCs w:val="20"/>
              </w:rPr>
              <w:t>followed by</w:t>
            </w:r>
            <w:r w:rsidRPr="0053234E">
              <w:rPr>
                <w:bCs/>
                <w:sz w:val="20"/>
                <w:szCs w:val="20"/>
              </w:rPr>
              <w:t xml:space="preserve"> the severity of the impact if that item were to happen. We are also welcome as a group to add some items.  </w:t>
            </w:r>
            <w:r w:rsidR="00496025">
              <w:rPr>
                <w:bCs/>
                <w:sz w:val="20"/>
                <w:szCs w:val="20"/>
              </w:rPr>
              <w:t>Please rank these individually and turn into Greg by October 11. Greg will send this electronically to the deans.  We will address this topic again at our October 15</w:t>
            </w:r>
            <w:r w:rsidR="00496025" w:rsidRPr="00496025">
              <w:rPr>
                <w:bCs/>
                <w:sz w:val="20"/>
                <w:szCs w:val="20"/>
                <w:vertAlign w:val="superscript"/>
              </w:rPr>
              <w:t>th</w:t>
            </w:r>
            <w:r w:rsidR="00496025">
              <w:rPr>
                <w:bCs/>
                <w:sz w:val="20"/>
                <w:szCs w:val="20"/>
              </w:rPr>
              <w:t xml:space="preserve"> meeting.</w:t>
            </w:r>
          </w:p>
          <w:p w:rsidR="00240BE6" w:rsidRDefault="00240BE6" w:rsidP="00595C61">
            <w:pPr>
              <w:rPr>
                <w:sz w:val="20"/>
                <w:szCs w:val="20"/>
              </w:rPr>
            </w:pPr>
          </w:p>
        </w:tc>
      </w:tr>
      <w:tr w:rsidR="0003649C" w:rsidTr="006E7ADC">
        <w:tc>
          <w:tcPr>
            <w:tcW w:w="2088" w:type="dxa"/>
          </w:tcPr>
          <w:p w:rsidR="0003649C" w:rsidRDefault="0003649C" w:rsidP="00595C61">
            <w:pPr>
              <w:rPr>
                <w:b/>
                <w:color w:val="0000FF"/>
                <w:sz w:val="20"/>
                <w:szCs w:val="20"/>
              </w:rPr>
            </w:pPr>
            <w:r>
              <w:rPr>
                <w:b/>
                <w:color w:val="0000FF"/>
                <w:sz w:val="20"/>
                <w:szCs w:val="20"/>
              </w:rPr>
              <w:t>One Stop and Registrar</w:t>
            </w:r>
          </w:p>
          <w:p w:rsidR="0003649C" w:rsidRDefault="0003649C" w:rsidP="00595C61">
            <w:pPr>
              <w:rPr>
                <w:b/>
                <w:color w:val="0000FF"/>
                <w:sz w:val="20"/>
                <w:szCs w:val="20"/>
              </w:rPr>
            </w:pPr>
            <w:r>
              <w:rPr>
                <w:b/>
                <w:color w:val="0000FF"/>
                <w:sz w:val="20"/>
                <w:szCs w:val="20"/>
              </w:rPr>
              <w:t>(Lowell Davis)</w:t>
            </w:r>
          </w:p>
        </w:tc>
        <w:tc>
          <w:tcPr>
            <w:tcW w:w="6768" w:type="dxa"/>
          </w:tcPr>
          <w:p w:rsidR="0003649C" w:rsidRDefault="0003649C" w:rsidP="00240BE6">
            <w:pPr>
              <w:tabs>
                <w:tab w:val="right" w:pos="480"/>
                <w:tab w:val="left" w:pos="720"/>
              </w:tabs>
              <w:rPr>
                <w:bCs/>
                <w:sz w:val="20"/>
                <w:szCs w:val="20"/>
              </w:rPr>
            </w:pPr>
            <w:r>
              <w:rPr>
                <w:bCs/>
                <w:sz w:val="20"/>
                <w:szCs w:val="20"/>
              </w:rPr>
              <w:t>The One Stop and the Registrar’s Office will be closed Wednesday, October 9</w:t>
            </w:r>
            <w:r w:rsidRPr="0003649C">
              <w:rPr>
                <w:bCs/>
                <w:sz w:val="20"/>
                <w:szCs w:val="20"/>
                <w:vertAlign w:val="superscript"/>
              </w:rPr>
              <w:t>th</w:t>
            </w:r>
            <w:r>
              <w:rPr>
                <w:bCs/>
                <w:sz w:val="20"/>
                <w:szCs w:val="20"/>
              </w:rPr>
              <w:t xml:space="preserve"> from 8:00-11:00 for customer service training.</w:t>
            </w:r>
          </w:p>
        </w:tc>
      </w:tr>
    </w:tbl>
    <w:p w:rsidR="006E7ADC" w:rsidRDefault="006E7ADC"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CA1EFF" w:rsidRDefault="002E7F3A" w:rsidP="00595C61">
            <w:pPr>
              <w:rPr>
                <w:b/>
                <w:color w:val="0000FF"/>
                <w:sz w:val="20"/>
                <w:szCs w:val="20"/>
              </w:rPr>
            </w:pPr>
            <w:r>
              <w:rPr>
                <w:b/>
                <w:color w:val="0000FF"/>
                <w:sz w:val="20"/>
                <w:szCs w:val="20"/>
              </w:rPr>
              <w:t>Tuition and Fee Proposals (Beth/All)</w:t>
            </w:r>
          </w:p>
        </w:tc>
        <w:tc>
          <w:tcPr>
            <w:tcW w:w="6768" w:type="dxa"/>
          </w:tcPr>
          <w:p w:rsidR="002E7F3A" w:rsidRDefault="002E7F3A" w:rsidP="002E7F3A">
            <w:pPr>
              <w:tabs>
                <w:tab w:val="right" w:pos="480"/>
                <w:tab w:val="left" w:pos="1080"/>
                <w:tab w:val="left" w:leader="dot" w:pos="7380"/>
                <w:tab w:val="left" w:pos="7560"/>
              </w:tabs>
              <w:rPr>
                <w:bCs/>
                <w:sz w:val="20"/>
                <w:szCs w:val="20"/>
              </w:rPr>
            </w:pPr>
            <w:r w:rsidRPr="002E6503">
              <w:rPr>
                <w:bCs/>
                <w:sz w:val="20"/>
                <w:szCs w:val="20"/>
              </w:rPr>
              <w:t xml:space="preserve">Justifications sheets were distributed </w:t>
            </w:r>
            <w:r>
              <w:rPr>
                <w:bCs/>
                <w:sz w:val="20"/>
                <w:szCs w:val="20"/>
              </w:rPr>
              <w:t>to COD.  G</w:t>
            </w:r>
            <w:r w:rsidRPr="002E6503">
              <w:rPr>
                <w:bCs/>
                <w:sz w:val="20"/>
                <w:szCs w:val="20"/>
              </w:rPr>
              <w:t xml:space="preserve">reg compiled </w:t>
            </w:r>
            <w:r>
              <w:rPr>
                <w:bCs/>
                <w:sz w:val="20"/>
                <w:szCs w:val="20"/>
              </w:rPr>
              <w:t xml:space="preserve">the </w:t>
            </w:r>
            <w:r w:rsidRPr="002E6503">
              <w:rPr>
                <w:bCs/>
                <w:sz w:val="20"/>
                <w:szCs w:val="20"/>
              </w:rPr>
              <w:t xml:space="preserve">items </w:t>
            </w:r>
            <w:r>
              <w:rPr>
                <w:bCs/>
                <w:sz w:val="20"/>
                <w:szCs w:val="20"/>
              </w:rPr>
              <w:t>submitted</w:t>
            </w:r>
            <w:r w:rsidRPr="002E6503">
              <w:rPr>
                <w:bCs/>
                <w:sz w:val="20"/>
                <w:szCs w:val="20"/>
              </w:rPr>
              <w:t xml:space="preserve">.  We cannot submit </w:t>
            </w:r>
            <w:r>
              <w:rPr>
                <w:bCs/>
                <w:sz w:val="20"/>
                <w:szCs w:val="20"/>
              </w:rPr>
              <w:t xml:space="preserve">the </w:t>
            </w:r>
            <w:r w:rsidRPr="002E6503">
              <w:rPr>
                <w:bCs/>
                <w:sz w:val="20"/>
                <w:szCs w:val="20"/>
              </w:rPr>
              <w:t>entire packet – we need to choose.  Now that we are not raising undergrad</w:t>
            </w:r>
            <w:r>
              <w:rPr>
                <w:bCs/>
                <w:sz w:val="20"/>
                <w:szCs w:val="20"/>
              </w:rPr>
              <w:t>uate</w:t>
            </w:r>
            <w:r w:rsidRPr="002E6503">
              <w:rPr>
                <w:bCs/>
                <w:sz w:val="20"/>
                <w:szCs w:val="20"/>
              </w:rPr>
              <w:t xml:space="preserve"> tuition, we can consider some differential tuition.  </w:t>
            </w:r>
            <w:r>
              <w:rPr>
                <w:bCs/>
                <w:sz w:val="20"/>
                <w:szCs w:val="20"/>
              </w:rPr>
              <w:t>Proposals will go</w:t>
            </w:r>
            <w:r w:rsidRPr="002E6503">
              <w:rPr>
                <w:bCs/>
                <w:sz w:val="20"/>
                <w:szCs w:val="20"/>
              </w:rPr>
              <w:t xml:space="preserve"> to </w:t>
            </w:r>
            <w:r>
              <w:rPr>
                <w:bCs/>
                <w:sz w:val="20"/>
                <w:szCs w:val="20"/>
              </w:rPr>
              <w:t>Executive Council</w:t>
            </w:r>
            <w:r w:rsidRPr="002E6503">
              <w:rPr>
                <w:bCs/>
                <w:sz w:val="20"/>
                <w:szCs w:val="20"/>
              </w:rPr>
              <w:t xml:space="preserve"> </w:t>
            </w:r>
            <w:r>
              <w:rPr>
                <w:bCs/>
                <w:sz w:val="20"/>
                <w:szCs w:val="20"/>
              </w:rPr>
              <w:t>where it will be narrowed</w:t>
            </w:r>
            <w:r w:rsidRPr="002E6503">
              <w:rPr>
                <w:bCs/>
                <w:sz w:val="20"/>
                <w:szCs w:val="20"/>
              </w:rPr>
              <w:t xml:space="preserve"> down, then </w:t>
            </w:r>
            <w:r>
              <w:rPr>
                <w:bCs/>
                <w:sz w:val="20"/>
                <w:szCs w:val="20"/>
              </w:rPr>
              <w:t xml:space="preserve">presented </w:t>
            </w:r>
            <w:r w:rsidRPr="002E6503">
              <w:rPr>
                <w:bCs/>
                <w:sz w:val="20"/>
                <w:szCs w:val="20"/>
              </w:rPr>
              <w:t>to</w:t>
            </w:r>
            <w:r>
              <w:rPr>
                <w:bCs/>
                <w:sz w:val="20"/>
                <w:szCs w:val="20"/>
              </w:rPr>
              <w:t xml:space="preserve"> student and faculty forums </w:t>
            </w:r>
            <w:r w:rsidR="00D33531">
              <w:rPr>
                <w:bCs/>
                <w:sz w:val="20"/>
                <w:szCs w:val="20"/>
              </w:rPr>
              <w:t>that</w:t>
            </w:r>
            <w:r>
              <w:rPr>
                <w:bCs/>
                <w:sz w:val="20"/>
                <w:szCs w:val="20"/>
              </w:rPr>
              <w:t xml:space="preserve"> will</w:t>
            </w:r>
            <w:r w:rsidRPr="002E6503">
              <w:rPr>
                <w:bCs/>
                <w:sz w:val="20"/>
                <w:szCs w:val="20"/>
              </w:rPr>
              <w:t xml:space="preserve"> make recommendations to </w:t>
            </w:r>
            <w:r>
              <w:rPr>
                <w:bCs/>
                <w:sz w:val="20"/>
                <w:szCs w:val="20"/>
              </w:rPr>
              <w:t>Executive Council</w:t>
            </w:r>
            <w:r w:rsidRPr="002E6503">
              <w:rPr>
                <w:bCs/>
                <w:sz w:val="20"/>
                <w:szCs w:val="20"/>
              </w:rPr>
              <w:t xml:space="preserve"> </w:t>
            </w:r>
            <w:r w:rsidR="009C72B0">
              <w:rPr>
                <w:bCs/>
                <w:sz w:val="20"/>
                <w:szCs w:val="20"/>
              </w:rPr>
              <w:t>for finalizing</w:t>
            </w:r>
            <w:r w:rsidRPr="002E6503">
              <w:rPr>
                <w:bCs/>
                <w:sz w:val="20"/>
                <w:szCs w:val="20"/>
              </w:rPr>
              <w:t xml:space="preserve">.  </w:t>
            </w:r>
          </w:p>
          <w:p w:rsidR="00D33531" w:rsidRDefault="00D33531" w:rsidP="002E7F3A">
            <w:pPr>
              <w:tabs>
                <w:tab w:val="right" w:pos="480"/>
                <w:tab w:val="left" w:pos="1080"/>
                <w:tab w:val="left" w:leader="dot" w:pos="7380"/>
                <w:tab w:val="left" w:pos="7560"/>
              </w:tabs>
              <w:rPr>
                <w:bCs/>
                <w:sz w:val="20"/>
                <w:szCs w:val="20"/>
              </w:rPr>
            </w:pPr>
          </w:p>
          <w:p w:rsidR="00D33531" w:rsidRDefault="00D33531" w:rsidP="00D33531">
            <w:pPr>
              <w:tabs>
                <w:tab w:val="right" w:pos="480"/>
                <w:tab w:val="left" w:pos="1080"/>
                <w:tab w:val="left" w:leader="dot" w:pos="7380"/>
                <w:tab w:val="left" w:pos="7560"/>
              </w:tabs>
              <w:rPr>
                <w:bCs/>
                <w:sz w:val="20"/>
                <w:szCs w:val="20"/>
              </w:rPr>
            </w:pPr>
            <w:r w:rsidRPr="002E6503">
              <w:rPr>
                <w:bCs/>
                <w:sz w:val="20"/>
                <w:szCs w:val="20"/>
              </w:rPr>
              <w:t>Dale r</w:t>
            </w:r>
            <w:r>
              <w:rPr>
                <w:bCs/>
                <w:sz w:val="20"/>
                <w:szCs w:val="20"/>
              </w:rPr>
              <w:t>eviewed his three proposals</w:t>
            </w:r>
            <w:r w:rsidR="00DF3A50">
              <w:rPr>
                <w:bCs/>
                <w:sz w:val="20"/>
                <w:szCs w:val="20"/>
              </w:rPr>
              <w:t xml:space="preserve"> for CEAP</w:t>
            </w:r>
            <w:r>
              <w:rPr>
                <w:bCs/>
                <w:sz w:val="20"/>
                <w:szCs w:val="20"/>
              </w:rPr>
              <w:t>, one of which</w:t>
            </w:r>
            <w:r w:rsidRPr="002E6503">
              <w:rPr>
                <w:bCs/>
                <w:sz w:val="20"/>
                <w:szCs w:val="20"/>
              </w:rPr>
              <w:t xml:space="preserve"> would go directly to mentor teachers who host our student teachers during </w:t>
            </w:r>
            <w:r>
              <w:rPr>
                <w:bCs/>
                <w:sz w:val="20"/>
                <w:szCs w:val="20"/>
              </w:rPr>
              <w:t xml:space="preserve">the </w:t>
            </w:r>
            <w:r w:rsidRPr="002E6503">
              <w:rPr>
                <w:bCs/>
                <w:sz w:val="20"/>
                <w:szCs w:val="20"/>
              </w:rPr>
              <w:t>s</w:t>
            </w:r>
            <w:r>
              <w:rPr>
                <w:bCs/>
                <w:sz w:val="20"/>
                <w:szCs w:val="20"/>
              </w:rPr>
              <w:t>tudent teaching semester.  W</w:t>
            </w:r>
            <w:r w:rsidRPr="002E6503">
              <w:rPr>
                <w:bCs/>
                <w:sz w:val="20"/>
                <w:szCs w:val="20"/>
              </w:rPr>
              <w:t xml:space="preserve">e are </w:t>
            </w:r>
            <w:r w:rsidR="007869E3">
              <w:rPr>
                <w:bCs/>
                <w:sz w:val="20"/>
                <w:szCs w:val="20"/>
              </w:rPr>
              <w:t xml:space="preserve">the </w:t>
            </w:r>
            <w:r w:rsidRPr="002E6503">
              <w:rPr>
                <w:bCs/>
                <w:sz w:val="20"/>
                <w:szCs w:val="20"/>
              </w:rPr>
              <w:t xml:space="preserve">only </w:t>
            </w:r>
            <w:r w:rsidR="007869E3" w:rsidRPr="002E6503">
              <w:rPr>
                <w:bCs/>
                <w:sz w:val="20"/>
                <w:szCs w:val="20"/>
              </w:rPr>
              <w:t>in</w:t>
            </w:r>
            <w:r w:rsidR="007869E3">
              <w:rPr>
                <w:bCs/>
                <w:sz w:val="20"/>
                <w:szCs w:val="20"/>
              </w:rPr>
              <w:t>s</w:t>
            </w:r>
            <w:r w:rsidR="007869E3" w:rsidRPr="002E6503">
              <w:rPr>
                <w:bCs/>
                <w:sz w:val="20"/>
                <w:szCs w:val="20"/>
              </w:rPr>
              <w:t>t</w:t>
            </w:r>
            <w:r w:rsidR="007869E3">
              <w:rPr>
                <w:bCs/>
                <w:sz w:val="20"/>
                <w:szCs w:val="20"/>
              </w:rPr>
              <w:t>it</w:t>
            </w:r>
            <w:r w:rsidR="007869E3" w:rsidRPr="002E6503">
              <w:rPr>
                <w:bCs/>
                <w:sz w:val="20"/>
                <w:szCs w:val="20"/>
              </w:rPr>
              <w:t>ution</w:t>
            </w:r>
            <w:r w:rsidRPr="002E6503">
              <w:rPr>
                <w:bCs/>
                <w:sz w:val="20"/>
                <w:szCs w:val="20"/>
              </w:rPr>
              <w:t xml:space="preserve"> </w:t>
            </w:r>
            <w:r>
              <w:rPr>
                <w:bCs/>
                <w:sz w:val="20"/>
                <w:szCs w:val="20"/>
              </w:rPr>
              <w:t>that</w:t>
            </w:r>
            <w:r w:rsidRPr="002E6503">
              <w:rPr>
                <w:bCs/>
                <w:sz w:val="20"/>
                <w:szCs w:val="20"/>
              </w:rPr>
              <w:t xml:space="preserve"> does not provide an</w:t>
            </w:r>
            <w:r>
              <w:rPr>
                <w:bCs/>
                <w:sz w:val="20"/>
                <w:szCs w:val="20"/>
              </w:rPr>
              <w:t xml:space="preserve"> incentive to mentor teachers (proposed </w:t>
            </w:r>
            <w:r w:rsidRPr="002E6503">
              <w:rPr>
                <w:bCs/>
                <w:sz w:val="20"/>
                <w:szCs w:val="20"/>
              </w:rPr>
              <w:t>$150</w:t>
            </w:r>
            <w:r>
              <w:rPr>
                <w:bCs/>
                <w:sz w:val="20"/>
                <w:szCs w:val="20"/>
              </w:rPr>
              <w:t>)</w:t>
            </w:r>
            <w:r w:rsidRPr="002E6503">
              <w:rPr>
                <w:bCs/>
                <w:sz w:val="20"/>
                <w:szCs w:val="20"/>
              </w:rPr>
              <w:t xml:space="preserve">.  Discussion ensued as to which CEAP proposals </w:t>
            </w:r>
            <w:r>
              <w:rPr>
                <w:bCs/>
                <w:sz w:val="20"/>
                <w:szCs w:val="20"/>
              </w:rPr>
              <w:t>are</w:t>
            </w:r>
            <w:r w:rsidRPr="002E6503">
              <w:rPr>
                <w:bCs/>
                <w:sz w:val="20"/>
                <w:szCs w:val="20"/>
              </w:rPr>
              <w:t xml:space="preserve"> </w:t>
            </w:r>
            <w:r>
              <w:rPr>
                <w:bCs/>
                <w:sz w:val="20"/>
                <w:szCs w:val="20"/>
              </w:rPr>
              <w:t>recommended to move forward</w:t>
            </w:r>
            <w:r w:rsidRPr="002E6503">
              <w:rPr>
                <w:bCs/>
                <w:sz w:val="20"/>
                <w:szCs w:val="20"/>
              </w:rPr>
              <w:t xml:space="preserve">. </w:t>
            </w:r>
            <w:r>
              <w:rPr>
                <w:bCs/>
                <w:sz w:val="20"/>
                <w:szCs w:val="20"/>
              </w:rPr>
              <w:t>It was s</w:t>
            </w:r>
            <w:r w:rsidRPr="002E6503">
              <w:rPr>
                <w:bCs/>
                <w:sz w:val="20"/>
                <w:szCs w:val="20"/>
              </w:rPr>
              <w:t>uggested combining A</w:t>
            </w:r>
            <w:r>
              <w:rPr>
                <w:bCs/>
                <w:sz w:val="20"/>
                <w:szCs w:val="20"/>
              </w:rPr>
              <w:t>&amp;</w:t>
            </w:r>
            <w:r w:rsidRPr="002E6503">
              <w:rPr>
                <w:bCs/>
                <w:sz w:val="20"/>
                <w:szCs w:val="20"/>
              </w:rPr>
              <w:t xml:space="preserve">S, CEAP and </w:t>
            </w:r>
            <w:r w:rsidR="009C72B0">
              <w:rPr>
                <w:bCs/>
                <w:sz w:val="20"/>
                <w:szCs w:val="20"/>
              </w:rPr>
              <w:t>C</w:t>
            </w:r>
            <w:r w:rsidRPr="002E6503">
              <w:rPr>
                <w:bCs/>
                <w:sz w:val="20"/>
                <w:szCs w:val="20"/>
              </w:rPr>
              <w:t>FPA who all have student teachers</w:t>
            </w:r>
            <w:r>
              <w:rPr>
                <w:bCs/>
                <w:sz w:val="20"/>
                <w:szCs w:val="20"/>
              </w:rPr>
              <w:t xml:space="preserve"> to </w:t>
            </w:r>
            <w:r w:rsidR="009C72B0">
              <w:rPr>
                <w:bCs/>
                <w:sz w:val="20"/>
                <w:szCs w:val="20"/>
              </w:rPr>
              <w:t>provide</w:t>
            </w:r>
            <w:r>
              <w:rPr>
                <w:bCs/>
                <w:sz w:val="20"/>
                <w:szCs w:val="20"/>
              </w:rPr>
              <w:t xml:space="preserve"> a</w:t>
            </w:r>
            <w:r w:rsidRPr="002E6503">
              <w:rPr>
                <w:bCs/>
                <w:sz w:val="20"/>
                <w:szCs w:val="20"/>
              </w:rPr>
              <w:t>n incentive to cooperating teacher</w:t>
            </w:r>
            <w:r w:rsidR="009C72B0">
              <w:rPr>
                <w:bCs/>
                <w:sz w:val="20"/>
                <w:szCs w:val="20"/>
              </w:rPr>
              <w:t>s</w:t>
            </w:r>
            <w:r w:rsidRPr="002E6503">
              <w:rPr>
                <w:bCs/>
                <w:sz w:val="20"/>
                <w:szCs w:val="20"/>
              </w:rPr>
              <w:t xml:space="preserve"> for each student.</w:t>
            </w:r>
          </w:p>
          <w:p w:rsidR="00CD55C0" w:rsidRDefault="00CD55C0" w:rsidP="00D33531">
            <w:pPr>
              <w:tabs>
                <w:tab w:val="right" w:pos="480"/>
                <w:tab w:val="left" w:pos="1080"/>
                <w:tab w:val="left" w:leader="dot" w:pos="7380"/>
                <w:tab w:val="left" w:pos="7560"/>
              </w:tabs>
              <w:rPr>
                <w:bCs/>
                <w:sz w:val="20"/>
                <w:szCs w:val="20"/>
              </w:rPr>
            </w:pPr>
          </w:p>
          <w:p w:rsidR="00CD55C0" w:rsidRDefault="00CD55C0" w:rsidP="00CD55C0">
            <w:pPr>
              <w:tabs>
                <w:tab w:val="right" w:pos="480"/>
                <w:tab w:val="left" w:pos="1080"/>
                <w:tab w:val="left" w:leader="dot" w:pos="7380"/>
                <w:tab w:val="left" w:pos="7560"/>
              </w:tabs>
              <w:rPr>
                <w:bCs/>
                <w:sz w:val="20"/>
                <w:szCs w:val="20"/>
              </w:rPr>
            </w:pPr>
            <w:r w:rsidRPr="002E6503">
              <w:rPr>
                <w:bCs/>
                <w:sz w:val="20"/>
                <w:szCs w:val="20"/>
              </w:rPr>
              <w:t xml:space="preserve">Robert Kehrberg presented his proposals </w:t>
            </w:r>
            <w:r w:rsidR="00DF3A50">
              <w:rPr>
                <w:bCs/>
                <w:sz w:val="20"/>
                <w:szCs w:val="20"/>
              </w:rPr>
              <w:t xml:space="preserve">for CFPA </w:t>
            </w:r>
            <w:r>
              <w:rPr>
                <w:bCs/>
                <w:sz w:val="20"/>
                <w:szCs w:val="20"/>
              </w:rPr>
              <w:t>to</w:t>
            </w:r>
            <w:r w:rsidRPr="002E6503">
              <w:rPr>
                <w:bCs/>
                <w:sz w:val="20"/>
                <w:szCs w:val="20"/>
              </w:rPr>
              <w:t xml:space="preserve"> COD. Discussion ensued regarding a fine and performing arts fee for all (similar to KS) which gives greater latitude to how the fees are used.  </w:t>
            </w:r>
          </w:p>
          <w:p w:rsidR="00D70A77" w:rsidRDefault="00D70A77" w:rsidP="00CD55C0">
            <w:pPr>
              <w:tabs>
                <w:tab w:val="right" w:pos="480"/>
                <w:tab w:val="left" w:pos="1080"/>
                <w:tab w:val="left" w:leader="dot" w:pos="7380"/>
                <w:tab w:val="left" w:pos="7560"/>
              </w:tabs>
              <w:rPr>
                <w:bCs/>
                <w:sz w:val="20"/>
                <w:szCs w:val="20"/>
              </w:rPr>
            </w:pPr>
          </w:p>
          <w:p w:rsidR="00D70A77" w:rsidRDefault="00D70A77" w:rsidP="00D70A77">
            <w:pPr>
              <w:tabs>
                <w:tab w:val="right" w:pos="480"/>
                <w:tab w:val="left" w:pos="1080"/>
                <w:tab w:val="left" w:leader="dot" w:pos="7380"/>
                <w:tab w:val="left" w:pos="7560"/>
              </w:tabs>
              <w:rPr>
                <w:bCs/>
                <w:sz w:val="20"/>
                <w:szCs w:val="20"/>
              </w:rPr>
            </w:pPr>
            <w:r>
              <w:rPr>
                <w:bCs/>
                <w:sz w:val="20"/>
                <w:szCs w:val="20"/>
              </w:rPr>
              <w:t xml:space="preserve">Mimi presented her proposal to increase the graduate student application fee from $55 to $65 with the extra $10 going directly back to the program to be applied for recruiting, etc.  Discussion ensued.  </w:t>
            </w:r>
            <w:r w:rsidR="008A7165">
              <w:rPr>
                <w:bCs/>
                <w:sz w:val="20"/>
                <w:szCs w:val="20"/>
              </w:rPr>
              <w:t>COD agree to move forward.</w:t>
            </w:r>
          </w:p>
          <w:p w:rsidR="00965D9E" w:rsidRDefault="00965D9E" w:rsidP="00D70A77">
            <w:pPr>
              <w:tabs>
                <w:tab w:val="right" w:pos="480"/>
                <w:tab w:val="left" w:pos="1080"/>
                <w:tab w:val="left" w:leader="dot" w:pos="7380"/>
                <w:tab w:val="left" w:pos="7560"/>
              </w:tabs>
              <w:rPr>
                <w:bCs/>
                <w:sz w:val="20"/>
                <w:szCs w:val="20"/>
              </w:rPr>
            </w:pPr>
          </w:p>
          <w:p w:rsidR="00965D9E" w:rsidRDefault="00965D9E" w:rsidP="00965D9E">
            <w:pPr>
              <w:tabs>
                <w:tab w:val="right" w:pos="480"/>
                <w:tab w:val="left" w:pos="1080"/>
                <w:tab w:val="left" w:leader="dot" w:pos="7380"/>
                <w:tab w:val="left" w:pos="7560"/>
              </w:tabs>
              <w:rPr>
                <w:bCs/>
                <w:sz w:val="20"/>
                <w:szCs w:val="20"/>
              </w:rPr>
            </w:pPr>
            <w:r>
              <w:rPr>
                <w:bCs/>
                <w:sz w:val="20"/>
                <w:szCs w:val="20"/>
              </w:rPr>
              <w:t xml:space="preserve">Darrell presented his proposal </w:t>
            </w:r>
            <w:r w:rsidR="00DF3A50">
              <w:rPr>
                <w:bCs/>
                <w:sz w:val="20"/>
                <w:szCs w:val="20"/>
              </w:rPr>
              <w:t xml:space="preserve">for COB </w:t>
            </w:r>
            <w:r>
              <w:rPr>
                <w:bCs/>
                <w:sz w:val="20"/>
                <w:szCs w:val="20"/>
              </w:rPr>
              <w:t>to COD. The proposal is a tuition differential, not a course fee.  COB is still $900 below tuition for other system institutional programs.  COD agreed to move forward.</w:t>
            </w:r>
          </w:p>
          <w:p w:rsidR="00965D9E" w:rsidRDefault="00965D9E" w:rsidP="00D70A77">
            <w:pPr>
              <w:tabs>
                <w:tab w:val="right" w:pos="480"/>
                <w:tab w:val="left" w:pos="1080"/>
                <w:tab w:val="left" w:leader="dot" w:pos="7380"/>
                <w:tab w:val="left" w:pos="7560"/>
              </w:tabs>
              <w:rPr>
                <w:bCs/>
                <w:sz w:val="20"/>
                <w:szCs w:val="20"/>
              </w:rPr>
            </w:pPr>
          </w:p>
          <w:p w:rsidR="00D33531" w:rsidRDefault="000211CB" w:rsidP="002E7F3A">
            <w:pPr>
              <w:tabs>
                <w:tab w:val="right" w:pos="480"/>
                <w:tab w:val="left" w:pos="1080"/>
                <w:tab w:val="left" w:leader="dot" w:pos="7380"/>
                <w:tab w:val="left" w:pos="7560"/>
              </w:tabs>
              <w:rPr>
                <w:bCs/>
                <w:sz w:val="20"/>
                <w:szCs w:val="20"/>
              </w:rPr>
            </w:pPr>
            <w:r>
              <w:rPr>
                <w:bCs/>
                <w:sz w:val="20"/>
                <w:szCs w:val="20"/>
              </w:rPr>
              <w:t>Lowell submitted three proposals – late fee for graduation, late fee for late registration and late fee to reinstate schedule.  Comparison institutions were shared as well.  Larry brought this forward as other institutions are charging for these items.  Discussion ensued. Late fee for late registration is no – we need to enforce what we already have. Discussion ensued regarding the late fee for applying late for graduation – COD decided not to move forward.  Discussion ensued regarding the late fee to reinstate schedule – COD will ask for a report from Larry on this.</w:t>
            </w:r>
          </w:p>
          <w:p w:rsidR="00735249" w:rsidRPr="004D4F72" w:rsidRDefault="00735249" w:rsidP="0063011E">
            <w:pPr>
              <w:rPr>
                <w:bCs/>
                <w:sz w:val="20"/>
                <w:szCs w:val="20"/>
              </w:rPr>
            </w:pPr>
          </w:p>
        </w:tc>
      </w:tr>
      <w:tr w:rsidR="00EE00B7" w:rsidTr="00EE00B7">
        <w:tc>
          <w:tcPr>
            <w:tcW w:w="2088" w:type="dxa"/>
          </w:tcPr>
          <w:p w:rsidR="008A20CA" w:rsidRDefault="008A20CA" w:rsidP="007712F5">
            <w:pPr>
              <w:rPr>
                <w:b/>
                <w:color w:val="0000FF"/>
                <w:sz w:val="20"/>
                <w:szCs w:val="20"/>
              </w:rPr>
            </w:pPr>
            <w:r>
              <w:rPr>
                <w:b/>
                <w:color w:val="0000FF"/>
                <w:sz w:val="20"/>
                <w:szCs w:val="20"/>
              </w:rPr>
              <w:lastRenderedPageBreak/>
              <w:t>WCU Integrated Awards</w:t>
            </w:r>
          </w:p>
          <w:p w:rsidR="00263B2C" w:rsidRPr="007712F5" w:rsidRDefault="008A20CA" w:rsidP="007712F5">
            <w:pPr>
              <w:rPr>
                <w:b/>
                <w:color w:val="0000FF"/>
                <w:sz w:val="20"/>
                <w:szCs w:val="20"/>
              </w:rPr>
            </w:pPr>
            <w:r>
              <w:rPr>
                <w:b/>
                <w:color w:val="0000FF"/>
                <w:sz w:val="20"/>
                <w:szCs w:val="20"/>
              </w:rPr>
              <w:t xml:space="preserve"> (Beth Lofquist)</w:t>
            </w:r>
          </w:p>
        </w:tc>
        <w:tc>
          <w:tcPr>
            <w:tcW w:w="6768" w:type="dxa"/>
          </w:tcPr>
          <w:p w:rsidR="008A20CA" w:rsidRDefault="008A20CA" w:rsidP="008A20CA">
            <w:pPr>
              <w:tabs>
                <w:tab w:val="right" w:pos="480"/>
                <w:tab w:val="left" w:pos="1080"/>
                <w:tab w:val="left" w:leader="dot" w:pos="7380"/>
                <w:tab w:val="left" w:pos="7560"/>
              </w:tabs>
              <w:rPr>
                <w:bCs/>
                <w:sz w:val="20"/>
                <w:szCs w:val="20"/>
              </w:rPr>
            </w:pPr>
            <w:r>
              <w:rPr>
                <w:bCs/>
                <w:sz w:val="20"/>
                <w:szCs w:val="20"/>
              </w:rPr>
              <w:t xml:space="preserve">This is a proposal to delete the JM Robinson award (CEAP agreed), then move the </w:t>
            </w:r>
            <w:proofErr w:type="spellStart"/>
            <w:r>
              <w:rPr>
                <w:bCs/>
                <w:sz w:val="20"/>
                <w:szCs w:val="20"/>
              </w:rPr>
              <w:t>SoLT</w:t>
            </w:r>
            <w:proofErr w:type="spellEnd"/>
            <w:r>
              <w:rPr>
                <w:bCs/>
                <w:sz w:val="20"/>
                <w:szCs w:val="20"/>
              </w:rPr>
              <w:t xml:space="preserve"> award to an engaged teaching award that will award a team of community and faculty partners.  COD agreed – we will move this forward to Faculty Senate.</w:t>
            </w:r>
          </w:p>
          <w:p w:rsidR="00031789" w:rsidRPr="00031789" w:rsidRDefault="00031789" w:rsidP="00595C61">
            <w:pPr>
              <w:rPr>
                <w:sz w:val="20"/>
                <w:szCs w:val="20"/>
              </w:rPr>
            </w:pPr>
          </w:p>
        </w:tc>
      </w:tr>
      <w:tr w:rsidR="00C115D6" w:rsidTr="00EE00B7">
        <w:tc>
          <w:tcPr>
            <w:tcW w:w="2088" w:type="dxa"/>
          </w:tcPr>
          <w:p w:rsidR="00C115D6" w:rsidRDefault="00C115D6" w:rsidP="007712F5">
            <w:pPr>
              <w:rPr>
                <w:b/>
                <w:color w:val="0000FF"/>
                <w:sz w:val="20"/>
                <w:szCs w:val="20"/>
              </w:rPr>
            </w:pPr>
            <w:r>
              <w:rPr>
                <w:b/>
                <w:color w:val="0000FF"/>
                <w:sz w:val="20"/>
                <w:szCs w:val="20"/>
              </w:rPr>
              <w:t xml:space="preserve">Best Practices with Development Liaisons </w:t>
            </w:r>
          </w:p>
          <w:p w:rsidR="00C115D6" w:rsidRDefault="00C115D6" w:rsidP="007712F5">
            <w:pPr>
              <w:rPr>
                <w:b/>
                <w:color w:val="0000FF"/>
                <w:sz w:val="20"/>
                <w:szCs w:val="20"/>
              </w:rPr>
            </w:pPr>
            <w:r>
              <w:rPr>
                <w:b/>
                <w:color w:val="0000FF"/>
                <w:sz w:val="20"/>
                <w:szCs w:val="20"/>
              </w:rPr>
              <w:t>(Beth Lofquist)</w:t>
            </w:r>
          </w:p>
        </w:tc>
        <w:tc>
          <w:tcPr>
            <w:tcW w:w="6768" w:type="dxa"/>
          </w:tcPr>
          <w:p w:rsidR="00C115D6" w:rsidRDefault="002A6483" w:rsidP="008A20CA">
            <w:pPr>
              <w:tabs>
                <w:tab w:val="right" w:pos="480"/>
                <w:tab w:val="left" w:pos="1080"/>
                <w:tab w:val="left" w:leader="dot" w:pos="7380"/>
                <w:tab w:val="left" w:pos="7560"/>
              </w:tabs>
              <w:rPr>
                <w:bCs/>
                <w:sz w:val="20"/>
                <w:szCs w:val="20"/>
              </w:rPr>
            </w:pPr>
            <w:r w:rsidRPr="00872FC6">
              <w:rPr>
                <w:bCs/>
                <w:sz w:val="20"/>
                <w:szCs w:val="20"/>
              </w:rPr>
              <w:t>Dean</w:t>
            </w:r>
            <w:r>
              <w:rPr>
                <w:bCs/>
                <w:sz w:val="20"/>
                <w:szCs w:val="20"/>
              </w:rPr>
              <w:t>s would like to be part of the</w:t>
            </w:r>
            <w:r w:rsidRPr="00872FC6">
              <w:rPr>
                <w:bCs/>
                <w:sz w:val="20"/>
                <w:szCs w:val="20"/>
              </w:rPr>
              <w:t xml:space="preserve"> evaluations and vice versa if indeed it is part of the college rep</w:t>
            </w:r>
            <w:r>
              <w:rPr>
                <w:bCs/>
                <w:sz w:val="20"/>
                <w:szCs w:val="20"/>
              </w:rPr>
              <w:t>resentative</w:t>
            </w:r>
            <w:r w:rsidRPr="00872FC6">
              <w:rPr>
                <w:bCs/>
                <w:sz w:val="20"/>
                <w:szCs w:val="20"/>
              </w:rPr>
              <w:t xml:space="preserve">’s job duties </w:t>
            </w:r>
            <w:r>
              <w:rPr>
                <w:bCs/>
                <w:sz w:val="20"/>
                <w:szCs w:val="20"/>
              </w:rPr>
              <w:t>(a</w:t>
            </w:r>
            <w:r w:rsidRPr="00872FC6">
              <w:rPr>
                <w:bCs/>
                <w:sz w:val="20"/>
                <w:szCs w:val="20"/>
              </w:rPr>
              <w:t xml:space="preserve"> designated </w:t>
            </w:r>
            <w:r>
              <w:rPr>
                <w:bCs/>
                <w:sz w:val="20"/>
                <w:szCs w:val="20"/>
              </w:rPr>
              <w:t xml:space="preserve">individual </w:t>
            </w:r>
            <w:r w:rsidRPr="00872FC6">
              <w:rPr>
                <w:bCs/>
                <w:sz w:val="20"/>
                <w:szCs w:val="20"/>
              </w:rPr>
              <w:t>in the college</w:t>
            </w:r>
            <w:r>
              <w:rPr>
                <w:bCs/>
                <w:sz w:val="20"/>
                <w:szCs w:val="20"/>
              </w:rPr>
              <w:t>)</w:t>
            </w:r>
            <w:r w:rsidRPr="00872FC6">
              <w:rPr>
                <w:bCs/>
                <w:sz w:val="20"/>
                <w:szCs w:val="20"/>
              </w:rPr>
              <w:t xml:space="preserve">. Some </w:t>
            </w:r>
            <w:r>
              <w:rPr>
                <w:bCs/>
                <w:sz w:val="20"/>
                <w:szCs w:val="20"/>
              </w:rPr>
              <w:t xml:space="preserve">colleges </w:t>
            </w:r>
            <w:r w:rsidRPr="00872FC6">
              <w:rPr>
                <w:bCs/>
                <w:sz w:val="20"/>
                <w:szCs w:val="20"/>
              </w:rPr>
              <w:t xml:space="preserve">have </w:t>
            </w:r>
            <w:r w:rsidR="007869E3">
              <w:rPr>
                <w:bCs/>
                <w:sz w:val="20"/>
                <w:szCs w:val="20"/>
              </w:rPr>
              <w:t xml:space="preserve">an </w:t>
            </w:r>
            <w:r w:rsidRPr="00872FC6">
              <w:rPr>
                <w:bCs/>
                <w:sz w:val="20"/>
                <w:szCs w:val="20"/>
              </w:rPr>
              <w:t xml:space="preserve">advancement person attend external meetings with </w:t>
            </w:r>
            <w:r>
              <w:rPr>
                <w:bCs/>
                <w:sz w:val="20"/>
                <w:szCs w:val="20"/>
              </w:rPr>
              <w:t xml:space="preserve">the </w:t>
            </w:r>
            <w:r w:rsidRPr="00872FC6">
              <w:rPr>
                <w:bCs/>
                <w:sz w:val="20"/>
                <w:szCs w:val="20"/>
              </w:rPr>
              <w:t>dean (K</w:t>
            </w:r>
            <w:r>
              <w:rPr>
                <w:bCs/>
                <w:sz w:val="20"/>
                <w:szCs w:val="20"/>
              </w:rPr>
              <w:t xml:space="preserve">immel </w:t>
            </w:r>
            <w:r w:rsidRPr="00872FC6">
              <w:rPr>
                <w:bCs/>
                <w:sz w:val="20"/>
                <w:szCs w:val="20"/>
              </w:rPr>
              <w:t>S</w:t>
            </w:r>
            <w:r>
              <w:rPr>
                <w:bCs/>
                <w:sz w:val="20"/>
                <w:szCs w:val="20"/>
              </w:rPr>
              <w:t>chool</w:t>
            </w:r>
            <w:r w:rsidRPr="00872FC6">
              <w:rPr>
                <w:bCs/>
                <w:sz w:val="20"/>
                <w:szCs w:val="20"/>
              </w:rPr>
              <w:t>) and sometimes on their own without the dean.</w:t>
            </w:r>
          </w:p>
          <w:p w:rsidR="005970BD" w:rsidRDefault="005970BD" w:rsidP="008A20CA">
            <w:pPr>
              <w:tabs>
                <w:tab w:val="right" w:pos="480"/>
                <w:tab w:val="left" w:pos="1080"/>
                <w:tab w:val="left" w:leader="dot" w:pos="7380"/>
                <w:tab w:val="left" w:pos="7560"/>
              </w:tabs>
              <w:rPr>
                <w:bCs/>
                <w:sz w:val="20"/>
                <w:szCs w:val="20"/>
              </w:rPr>
            </w:pPr>
          </w:p>
          <w:p w:rsidR="005970BD" w:rsidRDefault="005970BD" w:rsidP="008A20CA">
            <w:pPr>
              <w:tabs>
                <w:tab w:val="right" w:pos="480"/>
                <w:tab w:val="left" w:pos="1080"/>
                <w:tab w:val="left" w:leader="dot" w:pos="7380"/>
                <w:tab w:val="left" w:pos="7560"/>
              </w:tabs>
              <w:rPr>
                <w:bCs/>
                <w:sz w:val="20"/>
                <w:szCs w:val="20"/>
              </w:rPr>
            </w:pPr>
            <w:r w:rsidRPr="00872FC6">
              <w:rPr>
                <w:bCs/>
                <w:sz w:val="20"/>
                <w:szCs w:val="20"/>
              </w:rPr>
              <w:t xml:space="preserve">Mimi would like to be in partnership with </w:t>
            </w:r>
            <w:r>
              <w:rPr>
                <w:bCs/>
                <w:sz w:val="20"/>
                <w:szCs w:val="20"/>
              </w:rPr>
              <w:t xml:space="preserve">the deans to advocate for </w:t>
            </w:r>
            <w:r w:rsidRPr="00872FC6">
              <w:rPr>
                <w:bCs/>
                <w:sz w:val="20"/>
                <w:szCs w:val="20"/>
              </w:rPr>
              <w:t>grad</w:t>
            </w:r>
            <w:r>
              <w:rPr>
                <w:bCs/>
                <w:sz w:val="20"/>
                <w:szCs w:val="20"/>
              </w:rPr>
              <w:t>uate</w:t>
            </w:r>
            <w:r w:rsidRPr="00872FC6">
              <w:rPr>
                <w:bCs/>
                <w:sz w:val="20"/>
                <w:szCs w:val="20"/>
              </w:rPr>
              <w:t xml:space="preserve"> pro</w:t>
            </w:r>
            <w:r>
              <w:rPr>
                <w:bCs/>
                <w:sz w:val="20"/>
                <w:szCs w:val="20"/>
              </w:rPr>
              <w:t xml:space="preserve">grams. </w:t>
            </w:r>
            <w:r w:rsidRPr="00872FC6">
              <w:rPr>
                <w:bCs/>
                <w:sz w:val="20"/>
                <w:szCs w:val="20"/>
              </w:rPr>
              <w:t xml:space="preserve"> That message has been heard, </w:t>
            </w:r>
            <w:r>
              <w:rPr>
                <w:bCs/>
                <w:sz w:val="20"/>
                <w:szCs w:val="20"/>
              </w:rPr>
              <w:t>but no action has taken place. There is an e</w:t>
            </w:r>
            <w:r w:rsidRPr="00872FC6">
              <w:rPr>
                <w:bCs/>
                <w:sz w:val="20"/>
                <w:szCs w:val="20"/>
              </w:rPr>
              <w:t>mphasis on growth of endowments –</w:t>
            </w:r>
            <w:r w:rsidR="007869E3">
              <w:rPr>
                <w:bCs/>
                <w:sz w:val="20"/>
                <w:szCs w:val="20"/>
              </w:rPr>
              <w:t xml:space="preserve"> the A</w:t>
            </w:r>
            <w:r>
              <w:rPr>
                <w:bCs/>
                <w:sz w:val="20"/>
                <w:szCs w:val="20"/>
              </w:rPr>
              <w:t>dva</w:t>
            </w:r>
            <w:r w:rsidR="007869E3">
              <w:rPr>
                <w:bCs/>
                <w:sz w:val="20"/>
                <w:szCs w:val="20"/>
              </w:rPr>
              <w:t>ncement O</w:t>
            </w:r>
            <w:r>
              <w:rPr>
                <w:bCs/>
                <w:sz w:val="20"/>
                <w:szCs w:val="20"/>
              </w:rPr>
              <w:t xml:space="preserve">ffice gets </w:t>
            </w:r>
            <w:r w:rsidR="007869E3">
              <w:rPr>
                <w:bCs/>
                <w:sz w:val="20"/>
                <w:szCs w:val="20"/>
              </w:rPr>
              <w:t>one percent.</w:t>
            </w:r>
            <w:r>
              <w:rPr>
                <w:bCs/>
                <w:sz w:val="20"/>
                <w:szCs w:val="20"/>
              </w:rPr>
              <w:t xml:space="preserve">  This </w:t>
            </w:r>
            <w:r w:rsidRPr="00872FC6">
              <w:rPr>
                <w:bCs/>
                <w:sz w:val="20"/>
                <w:szCs w:val="20"/>
              </w:rPr>
              <w:t xml:space="preserve">agenda is being pushed but endowments at </w:t>
            </w:r>
            <w:r>
              <w:rPr>
                <w:bCs/>
                <w:sz w:val="20"/>
                <w:szCs w:val="20"/>
              </w:rPr>
              <w:t xml:space="preserve">the </w:t>
            </w:r>
            <w:r w:rsidRPr="00872FC6">
              <w:rPr>
                <w:bCs/>
                <w:sz w:val="20"/>
                <w:szCs w:val="20"/>
              </w:rPr>
              <w:t xml:space="preserve">$10,000 level </w:t>
            </w:r>
            <w:r>
              <w:rPr>
                <w:bCs/>
                <w:sz w:val="20"/>
                <w:szCs w:val="20"/>
              </w:rPr>
              <w:t>are</w:t>
            </w:r>
            <w:r w:rsidRPr="00872FC6">
              <w:rPr>
                <w:bCs/>
                <w:sz w:val="20"/>
                <w:szCs w:val="20"/>
              </w:rPr>
              <w:t xml:space="preserve"> too </w:t>
            </w:r>
            <w:r>
              <w:rPr>
                <w:bCs/>
                <w:sz w:val="20"/>
                <w:szCs w:val="20"/>
              </w:rPr>
              <w:t>small</w:t>
            </w:r>
            <w:r w:rsidR="008A5389">
              <w:rPr>
                <w:bCs/>
                <w:sz w:val="20"/>
                <w:szCs w:val="20"/>
              </w:rPr>
              <w:t>;</w:t>
            </w:r>
            <w:r>
              <w:rPr>
                <w:bCs/>
                <w:sz w:val="20"/>
                <w:szCs w:val="20"/>
              </w:rPr>
              <w:t xml:space="preserve"> needs to be moved to $50,000</w:t>
            </w:r>
            <w:r w:rsidRPr="00872FC6">
              <w:rPr>
                <w:bCs/>
                <w:sz w:val="20"/>
                <w:szCs w:val="20"/>
              </w:rPr>
              <w:t xml:space="preserve"> level to generate enough funds to </w:t>
            </w:r>
            <w:r>
              <w:rPr>
                <w:bCs/>
                <w:sz w:val="20"/>
                <w:szCs w:val="20"/>
              </w:rPr>
              <w:t xml:space="preserve">be </w:t>
            </w:r>
            <w:r w:rsidR="00213AE9">
              <w:rPr>
                <w:bCs/>
                <w:sz w:val="20"/>
                <w:szCs w:val="20"/>
              </w:rPr>
              <w:t>meaningful</w:t>
            </w:r>
            <w:r w:rsidRPr="00872FC6">
              <w:rPr>
                <w:bCs/>
                <w:sz w:val="20"/>
                <w:szCs w:val="20"/>
              </w:rPr>
              <w:t>.</w:t>
            </w:r>
          </w:p>
          <w:p w:rsidR="00213AE9" w:rsidRDefault="00213AE9" w:rsidP="008A20CA">
            <w:pPr>
              <w:tabs>
                <w:tab w:val="right" w:pos="480"/>
                <w:tab w:val="left" w:pos="1080"/>
                <w:tab w:val="left" w:leader="dot" w:pos="7380"/>
                <w:tab w:val="left" w:pos="7560"/>
              </w:tabs>
              <w:rPr>
                <w:bCs/>
                <w:sz w:val="20"/>
                <w:szCs w:val="20"/>
              </w:rPr>
            </w:pPr>
          </w:p>
          <w:p w:rsidR="00213AE9" w:rsidRDefault="00213AE9" w:rsidP="008A20CA">
            <w:pPr>
              <w:tabs>
                <w:tab w:val="right" w:pos="480"/>
                <w:tab w:val="left" w:pos="1080"/>
                <w:tab w:val="left" w:leader="dot" w:pos="7380"/>
                <w:tab w:val="left" w:pos="7560"/>
              </w:tabs>
              <w:rPr>
                <w:bCs/>
                <w:sz w:val="20"/>
                <w:szCs w:val="20"/>
              </w:rPr>
            </w:pPr>
            <w:r>
              <w:rPr>
                <w:bCs/>
                <w:sz w:val="20"/>
                <w:szCs w:val="20"/>
              </w:rPr>
              <w:t>We need to c</w:t>
            </w:r>
            <w:r w:rsidRPr="00872FC6">
              <w:rPr>
                <w:bCs/>
                <w:sz w:val="20"/>
                <w:szCs w:val="20"/>
              </w:rPr>
              <w:t xml:space="preserve">larify </w:t>
            </w:r>
            <w:r>
              <w:rPr>
                <w:bCs/>
                <w:sz w:val="20"/>
                <w:szCs w:val="20"/>
              </w:rPr>
              <w:t xml:space="preserve">the </w:t>
            </w:r>
            <w:r w:rsidRPr="00872FC6">
              <w:rPr>
                <w:bCs/>
                <w:sz w:val="20"/>
                <w:szCs w:val="20"/>
              </w:rPr>
              <w:t xml:space="preserve">role of </w:t>
            </w:r>
            <w:r>
              <w:rPr>
                <w:bCs/>
                <w:sz w:val="20"/>
                <w:szCs w:val="20"/>
              </w:rPr>
              <w:t xml:space="preserve">the </w:t>
            </w:r>
            <w:r w:rsidRPr="00872FC6">
              <w:rPr>
                <w:bCs/>
                <w:sz w:val="20"/>
                <w:szCs w:val="20"/>
              </w:rPr>
              <w:t xml:space="preserve">liaison, development strategy, </w:t>
            </w:r>
            <w:r>
              <w:rPr>
                <w:bCs/>
                <w:sz w:val="20"/>
                <w:szCs w:val="20"/>
              </w:rPr>
              <w:t xml:space="preserve">and </w:t>
            </w:r>
            <w:r w:rsidRPr="00872FC6">
              <w:rPr>
                <w:bCs/>
                <w:sz w:val="20"/>
                <w:szCs w:val="20"/>
              </w:rPr>
              <w:t xml:space="preserve">liaison priorities. </w:t>
            </w:r>
            <w:r>
              <w:rPr>
                <w:bCs/>
                <w:sz w:val="20"/>
                <w:szCs w:val="20"/>
              </w:rPr>
              <w:t xml:space="preserve"> Sometimes what we are raising funds</w:t>
            </w:r>
            <w:r w:rsidRPr="00872FC6">
              <w:rPr>
                <w:bCs/>
                <w:sz w:val="20"/>
                <w:szCs w:val="20"/>
              </w:rPr>
              <w:t xml:space="preserve"> for has to be a two way street – </w:t>
            </w:r>
            <w:r>
              <w:rPr>
                <w:bCs/>
                <w:sz w:val="20"/>
                <w:szCs w:val="20"/>
              </w:rPr>
              <w:t xml:space="preserve">it </w:t>
            </w:r>
            <w:r w:rsidRPr="00872FC6">
              <w:rPr>
                <w:bCs/>
                <w:sz w:val="20"/>
                <w:szCs w:val="20"/>
              </w:rPr>
              <w:t xml:space="preserve">doesn’t fit every college.  </w:t>
            </w:r>
            <w:r>
              <w:rPr>
                <w:bCs/>
                <w:sz w:val="20"/>
                <w:szCs w:val="20"/>
              </w:rPr>
              <w:t xml:space="preserve">The </w:t>
            </w:r>
            <w:r w:rsidRPr="00872FC6">
              <w:rPr>
                <w:bCs/>
                <w:sz w:val="20"/>
                <w:szCs w:val="20"/>
              </w:rPr>
              <w:t xml:space="preserve">Honors College operating budget is more than half supported by donations – pressure again to use for endowed scholarships but </w:t>
            </w:r>
            <w:r>
              <w:rPr>
                <w:bCs/>
                <w:sz w:val="20"/>
                <w:szCs w:val="20"/>
              </w:rPr>
              <w:t xml:space="preserve">we </w:t>
            </w:r>
            <w:r w:rsidRPr="00872FC6">
              <w:rPr>
                <w:bCs/>
                <w:sz w:val="20"/>
                <w:szCs w:val="20"/>
              </w:rPr>
              <w:t xml:space="preserve">need flexibility.  </w:t>
            </w:r>
          </w:p>
          <w:p w:rsidR="009F7A09" w:rsidRDefault="009F7A09" w:rsidP="008A20CA">
            <w:pPr>
              <w:tabs>
                <w:tab w:val="right" w:pos="480"/>
                <w:tab w:val="left" w:pos="1080"/>
                <w:tab w:val="left" w:leader="dot" w:pos="7380"/>
                <w:tab w:val="left" w:pos="7560"/>
              </w:tabs>
              <w:rPr>
                <w:bCs/>
                <w:sz w:val="20"/>
                <w:szCs w:val="20"/>
              </w:rPr>
            </w:pPr>
          </w:p>
          <w:p w:rsidR="009F7A09" w:rsidRPr="00872FC6" w:rsidRDefault="009F7A09" w:rsidP="009F7A09">
            <w:pPr>
              <w:tabs>
                <w:tab w:val="right" w:pos="480"/>
                <w:tab w:val="left" w:pos="1080"/>
                <w:tab w:val="left" w:leader="dot" w:pos="7380"/>
                <w:tab w:val="left" w:pos="7560"/>
              </w:tabs>
              <w:rPr>
                <w:bCs/>
                <w:sz w:val="20"/>
                <w:szCs w:val="20"/>
              </w:rPr>
            </w:pPr>
            <w:r w:rsidRPr="00872FC6">
              <w:rPr>
                <w:bCs/>
                <w:sz w:val="20"/>
                <w:szCs w:val="20"/>
              </w:rPr>
              <w:t xml:space="preserve">Alumni Affairs </w:t>
            </w:r>
            <w:r>
              <w:rPr>
                <w:bCs/>
                <w:sz w:val="20"/>
                <w:szCs w:val="20"/>
              </w:rPr>
              <w:t>has not been able to</w:t>
            </w:r>
            <w:r w:rsidRPr="00872FC6">
              <w:rPr>
                <w:bCs/>
                <w:sz w:val="20"/>
                <w:szCs w:val="20"/>
              </w:rPr>
              <w:t xml:space="preserve"> manag</w:t>
            </w:r>
            <w:r>
              <w:rPr>
                <w:bCs/>
                <w:sz w:val="20"/>
                <w:szCs w:val="20"/>
              </w:rPr>
              <w:t>e</w:t>
            </w:r>
            <w:r w:rsidRPr="00872FC6">
              <w:rPr>
                <w:bCs/>
                <w:sz w:val="20"/>
                <w:szCs w:val="20"/>
              </w:rPr>
              <w:t xml:space="preserve"> to reach</w:t>
            </w:r>
            <w:r>
              <w:rPr>
                <w:bCs/>
                <w:sz w:val="20"/>
                <w:szCs w:val="20"/>
              </w:rPr>
              <w:t xml:space="preserve"> out and touch our alumni.  One </w:t>
            </w:r>
            <w:r w:rsidR="008A5389">
              <w:rPr>
                <w:bCs/>
                <w:sz w:val="20"/>
                <w:szCs w:val="20"/>
              </w:rPr>
              <w:t xml:space="preserve">issue </w:t>
            </w:r>
            <w:r>
              <w:rPr>
                <w:bCs/>
                <w:sz w:val="20"/>
                <w:szCs w:val="20"/>
              </w:rPr>
              <w:t>is</w:t>
            </w:r>
            <w:r w:rsidRPr="00872FC6">
              <w:rPr>
                <w:bCs/>
                <w:sz w:val="20"/>
                <w:szCs w:val="20"/>
              </w:rPr>
              <w:t xml:space="preserve"> that individuals are loyal first to </w:t>
            </w:r>
            <w:r>
              <w:rPr>
                <w:bCs/>
                <w:sz w:val="20"/>
                <w:szCs w:val="20"/>
              </w:rPr>
              <w:t>the institution</w:t>
            </w:r>
            <w:r w:rsidR="007869E3">
              <w:rPr>
                <w:bCs/>
                <w:sz w:val="20"/>
                <w:szCs w:val="20"/>
              </w:rPr>
              <w:t>,</w:t>
            </w:r>
            <w:r>
              <w:rPr>
                <w:bCs/>
                <w:sz w:val="20"/>
                <w:szCs w:val="20"/>
              </w:rPr>
              <w:t xml:space="preserve"> when in </w:t>
            </w:r>
            <w:r w:rsidR="007869E3">
              <w:rPr>
                <w:bCs/>
                <w:sz w:val="20"/>
                <w:szCs w:val="20"/>
              </w:rPr>
              <w:t>reality</w:t>
            </w:r>
            <w:r w:rsidRPr="00872FC6">
              <w:rPr>
                <w:bCs/>
                <w:sz w:val="20"/>
                <w:szCs w:val="20"/>
              </w:rPr>
              <w:t xml:space="preserve"> loyalty is to </w:t>
            </w:r>
            <w:r>
              <w:rPr>
                <w:bCs/>
                <w:sz w:val="20"/>
                <w:szCs w:val="20"/>
              </w:rPr>
              <w:t xml:space="preserve">the </w:t>
            </w:r>
            <w:r w:rsidRPr="00872FC6">
              <w:rPr>
                <w:bCs/>
                <w:sz w:val="20"/>
                <w:szCs w:val="20"/>
              </w:rPr>
              <w:t xml:space="preserve">program first.  </w:t>
            </w:r>
            <w:proofErr w:type="gramStart"/>
            <w:r w:rsidR="008A5389">
              <w:rPr>
                <w:bCs/>
                <w:sz w:val="20"/>
                <w:szCs w:val="20"/>
              </w:rPr>
              <w:t>it</w:t>
            </w:r>
            <w:proofErr w:type="gramEnd"/>
            <w:r w:rsidR="008A5389">
              <w:rPr>
                <w:bCs/>
                <w:sz w:val="20"/>
                <w:szCs w:val="20"/>
              </w:rPr>
              <w:t xml:space="preserve"> is important that Alumni Affairs and the Colleges are</w:t>
            </w:r>
            <w:r w:rsidRPr="00872FC6">
              <w:rPr>
                <w:bCs/>
                <w:sz w:val="20"/>
                <w:szCs w:val="20"/>
              </w:rPr>
              <w:t xml:space="preserve"> on same page before we move into a campaign.  </w:t>
            </w:r>
            <w:r>
              <w:rPr>
                <w:bCs/>
                <w:sz w:val="20"/>
                <w:szCs w:val="20"/>
              </w:rPr>
              <w:t>We need a</w:t>
            </w:r>
            <w:r w:rsidRPr="00872FC6">
              <w:rPr>
                <w:bCs/>
                <w:sz w:val="20"/>
                <w:szCs w:val="20"/>
              </w:rPr>
              <w:t xml:space="preserve"> written descr</w:t>
            </w:r>
            <w:r>
              <w:rPr>
                <w:bCs/>
                <w:sz w:val="20"/>
                <w:szCs w:val="20"/>
              </w:rPr>
              <w:t>iption for liaisons.</w:t>
            </w:r>
          </w:p>
          <w:p w:rsidR="009F7A09" w:rsidRDefault="009F7A09" w:rsidP="008A20CA">
            <w:pPr>
              <w:tabs>
                <w:tab w:val="right" w:pos="480"/>
                <w:tab w:val="left" w:pos="1080"/>
                <w:tab w:val="left" w:leader="dot" w:pos="7380"/>
                <w:tab w:val="left" w:pos="7560"/>
              </w:tabs>
              <w:rPr>
                <w:bCs/>
                <w:sz w:val="20"/>
                <w:szCs w:val="20"/>
              </w:rPr>
            </w:pPr>
          </w:p>
        </w:tc>
      </w:tr>
      <w:tr w:rsidR="00290050" w:rsidTr="00EE00B7">
        <w:tc>
          <w:tcPr>
            <w:tcW w:w="2088" w:type="dxa"/>
          </w:tcPr>
          <w:p w:rsidR="00290050" w:rsidRDefault="00290050" w:rsidP="007712F5">
            <w:pPr>
              <w:rPr>
                <w:b/>
                <w:color w:val="0000FF"/>
                <w:sz w:val="20"/>
                <w:szCs w:val="20"/>
              </w:rPr>
            </w:pPr>
            <w:r>
              <w:rPr>
                <w:b/>
                <w:color w:val="0000FF"/>
                <w:sz w:val="20"/>
                <w:szCs w:val="20"/>
              </w:rPr>
              <w:t xml:space="preserve">Digital Measures </w:t>
            </w:r>
          </w:p>
          <w:p w:rsidR="00290050" w:rsidRDefault="00290050" w:rsidP="007712F5">
            <w:pPr>
              <w:rPr>
                <w:b/>
                <w:color w:val="0000FF"/>
                <w:sz w:val="20"/>
                <w:szCs w:val="20"/>
              </w:rPr>
            </w:pPr>
            <w:r>
              <w:rPr>
                <w:b/>
                <w:color w:val="0000FF"/>
                <w:sz w:val="20"/>
                <w:szCs w:val="20"/>
              </w:rPr>
              <w:t>(Beth Lofquist)</w:t>
            </w:r>
          </w:p>
        </w:tc>
        <w:tc>
          <w:tcPr>
            <w:tcW w:w="6768" w:type="dxa"/>
          </w:tcPr>
          <w:p w:rsidR="00290050" w:rsidRDefault="0070447D" w:rsidP="008A20CA">
            <w:pPr>
              <w:tabs>
                <w:tab w:val="right" w:pos="480"/>
                <w:tab w:val="left" w:pos="1080"/>
                <w:tab w:val="left" w:leader="dot" w:pos="7380"/>
                <w:tab w:val="left" w:pos="7560"/>
              </w:tabs>
              <w:rPr>
                <w:bCs/>
                <w:sz w:val="20"/>
                <w:szCs w:val="20"/>
              </w:rPr>
            </w:pPr>
            <w:r>
              <w:rPr>
                <w:bCs/>
                <w:sz w:val="20"/>
                <w:szCs w:val="20"/>
              </w:rPr>
              <w:t xml:space="preserve">We have </w:t>
            </w:r>
            <w:r w:rsidR="008A5389">
              <w:rPr>
                <w:bCs/>
                <w:sz w:val="20"/>
                <w:szCs w:val="20"/>
              </w:rPr>
              <w:t>not made progress</w:t>
            </w:r>
            <w:r>
              <w:rPr>
                <w:bCs/>
                <w:sz w:val="20"/>
                <w:szCs w:val="20"/>
              </w:rPr>
              <w:t xml:space="preserve"> regarding colleges coming on board for Digital Measures.  It would make sense to have a format to pull reports and go forth.  We will postpone this to a future meeting.  </w:t>
            </w:r>
          </w:p>
          <w:p w:rsidR="0010406C" w:rsidRDefault="0010406C" w:rsidP="008A20CA">
            <w:pPr>
              <w:tabs>
                <w:tab w:val="right" w:pos="480"/>
                <w:tab w:val="left" w:pos="1080"/>
                <w:tab w:val="left" w:leader="dot" w:pos="7380"/>
                <w:tab w:val="left" w:pos="7560"/>
              </w:tabs>
              <w:rPr>
                <w:bCs/>
                <w:sz w:val="20"/>
                <w:szCs w:val="20"/>
              </w:rPr>
            </w:pPr>
          </w:p>
          <w:p w:rsidR="0010406C" w:rsidRDefault="0010406C" w:rsidP="008A20CA">
            <w:pPr>
              <w:tabs>
                <w:tab w:val="right" w:pos="480"/>
                <w:tab w:val="left" w:pos="1080"/>
                <w:tab w:val="left" w:leader="dot" w:pos="7380"/>
                <w:tab w:val="left" w:pos="7560"/>
              </w:tabs>
              <w:rPr>
                <w:bCs/>
                <w:sz w:val="20"/>
                <w:szCs w:val="20"/>
              </w:rPr>
            </w:pPr>
            <w:r>
              <w:rPr>
                <w:bCs/>
                <w:sz w:val="20"/>
                <w:szCs w:val="20"/>
              </w:rPr>
              <w:t xml:space="preserve">Last year CEAP passed a </w:t>
            </w:r>
            <w:r w:rsidR="007869E3">
              <w:rPr>
                <w:bCs/>
                <w:sz w:val="20"/>
                <w:szCs w:val="20"/>
              </w:rPr>
              <w:t>motion that everyone would use Digital M</w:t>
            </w:r>
            <w:r>
              <w:rPr>
                <w:bCs/>
                <w:sz w:val="20"/>
                <w:szCs w:val="20"/>
              </w:rPr>
              <w:t>easures this year – whether or not that is actually happening, Dale is not sure.  In the past individuals have wanted to use Digital Measures, but needed support and could not get the support they needed.  Support was the primary issue.  In order to get everyone on board CEAP had several people step up to be in-house support.  Beth will get clarification on where the support lies</w:t>
            </w:r>
            <w:r w:rsidR="008A5389">
              <w:rPr>
                <w:bCs/>
                <w:sz w:val="20"/>
                <w:szCs w:val="20"/>
              </w:rPr>
              <w:t>, whether it is Institutional Planning and Effectiveness or the Coulter Faculty Commons</w:t>
            </w:r>
            <w:r>
              <w:rPr>
                <w:bCs/>
                <w:sz w:val="20"/>
                <w:szCs w:val="20"/>
              </w:rPr>
              <w:t>.</w:t>
            </w:r>
          </w:p>
          <w:p w:rsidR="00677A74" w:rsidRPr="00872FC6" w:rsidRDefault="00677A74" w:rsidP="008A20CA">
            <w:pPr>
              <w:tabs>
                <w:tab w:val="right" w:pos="480"/>
                <w:tab w:val="left" w:pos="1080"/>
                <w:tab w:val="left" w:leader="dot" w:pos="7380"/>
                <w:tab w:val="left" w:pos="7560"/>
              </w:tabs>
              <w:rPr>
                <w:bCs/>
                <w:sz w:val="20"/>
                <w:szCs w:val="20"/>
              </w:rPr>
            </w:pPr>
          </w:p>
        </w:tc>
      </w:tr>
      <w:tr w:rsidR="00677A74" w:rsidTr="00EE00B7">
        <w:tc>
          <w:tcPr>
            <w:tcW w:w="2088" w:type="dxa"/>
          </w:tcPr>
          <w:p w:rsidR="00677A74" w:rsidRDefault="00677A74" w:rsidP="007712F5">
            <w:pPr>
              <w:rPr>
                <w:b/>
                <w:color w:val="0000FF"/>
                <w:sz w:val="20"/>
                <w:szCs w:val="20"/>
              </w:rPr>
            </w:pPr>
            <w:r>
              <w:rPr>
                <w:b/>
                <w:color w:val="0000FF"/>
                <w:sz w:val="20"/>
                <w:szCs w:val="20"/>
              </w:rPr>
              <w:t>Non-recurring Budget Proposals (Beth Lofquist)</w:t>
            </w:r>
          </w:p>
        </w:tc>
        <w:tc>
          <w:tcPr>
            <w:tcW w:w="6768" w:type="dxa"/>
          </w:tcPr>
          <w:p w:rsidR="00677A74" w:rsidRPr="00E72109" w:rsidRDefault="00677A74" w:rsidP="00677A74">
            <w:pPr>
              <w:tabs>
                <w:tab w:val="right" w:pos="480"/>
                <w:tab w:val="left" w:pos="1080"/>
                <w:tab w:val="left" w:leader="dot" w:pos="7380"/>
                <w:tab w:val="left" w:pos="7560"/>
              </w:tabs>
              <w:rPr>
                <w:bCs/>
                <w:sz w:val="20"/>
                <w:szCs w:val="20"/>
              </w:rPr>
            </w:pPr>
            <w:r w:rsidRPr="00E72109">
              <w:rPr>
                <w:bCs/>
                <w:sz w:val="20"/>
                <w:szCs w:val="20"/>
              </w:rPr>
              <w:t xml:space="preserve">Greg reviewed requests with COD and discussion ensued. </w:t>
            </w:r>
            <w:r>
              <w:rPr>
                <w:bCs/>
                <w:sz w:val="20"/>
                <w:szCs w:val="20"/>
              </w:rPr>
              <w:t xml:space="preserve">At the </w:t>
            </w:r>
            <w:r w:rsidRPr="00E72109">
              <w:rPr>
                <w:bCs/>
                <w:sz w:val="20"/>
                <w:szCs w:val="20"/>
              </w:rPr>
              <w:t xml:space="preserve">last </w:t>
            </w:r>
            <w:r>
              <w:rPr>
                <w:bCs/>
                <w:sz w:val="20"/>
                <w:szCs w:val="20"/>
              </w:rPr>
              <w:t xml:space="preserve">COD </w:t>
            </w:r>
            <w:r w:rsidRPr="00E72109">
              <w:rPr>
                <w:bCs/>
                <w:sz w:val="20"/>
                <w:szCs w:val="20"/>
              </w:rPr>
              <w:t>meeting in Oct</w:t>
            </w:r>
            <w:r>
              <w:rPr>
                <w:bCs/>
                <w:sz w:val="20"/>
                <w:szCs w:val="20"/>
              </w:rPr>
              <w:t>ober we will review</w:t>
            </w:r>
            <w:r w:rsidRPr="00E72109">
              <w:rPr>
                <w:bCs/>
                <w:sz w:val="20"/>
                <w:szCs w:val="20"/>
              </w:rPr>
              <w:t xml:space="preserve"> proposals for this semester lapsed salarie</w:t>
            </w:r>
            <w:r>
              <w:rPr>
                <w:bCs/>
                <w:sz w:val="20"/>
                <w:szCs w:val="20"/>
              </w:rPr>
              <w:t>s – Greg will have break down.</w:t>
            </w:r>
            <w:r w:rsidRPr="00E72109">
              <w:rPr>
                <w:bCs/>
                <w:sz w:val="20"/>
                <w:szCs w:val="20"/>
              </w:rPr>
              <w:t xml:space="preserve"> Proposal</w:t>
            </w:r>
            <w:r>
              <w:rPr>
                <w:bCs/>
                <w:sz w:val="20"/>
                <w:szCs w:val="20"/>
              </w:rPr>
              <w:t>s need to be to Greg by Oct 11</w:t>
            </w:r>
            <w:r w:rsidRPr="00E72109">
              <w:rPr>
                <w:bCs/>
                <w:sz w:val="20"/>
                <w:szCs w:val="20"/>
              </w:rPr>
              <w:t>.</w:t>
            </w:r>
          </w:p>
          <w:p w:rsidR="00677A74" w:rsidRDefault="00677A74" w:rsidP="008A20CA">
            <w:pPr>
              <w:tabs>
                <w:tab w:val="right" w:pos="480"/>
                <w:tab w:val="left" w:pos="1080"/>
                <w:tab w:val="left" w:leader="dot" w:pos="7380"/>
                <w:tab w:val="left" w:pos="7560"/>
              </w:tabs>
              <w:rPr>
                <w:bCs/>
                <w:sz w:val="20"/>
                <w:szCs w:val="20"/>
              </w:rPr>
            </w:pPr>
          </w:p>
        </w:tc>
      </w:tr>
      <w:tr w:rsidR="00464EC9" w:rsidTr="00EE00B7">
        <w:tc>
          <w:tcPr>
            <w:tcW w:w="2088" w:type="dxa"/>
          </w:tcPr>
          <w:p w:rsidR="00464EC9" w:rsidRDefault="00464EC9" w:rsidP="007712F5">
            <w:pPr>
              <w:rPr>
                <w:b/>
                <w:color w:val="0000FF"/>
                <w:sz w:val="20"/>
                <w:szCs w:val="20"/>
              </w:rPr>
            </w:pPr>
            <w:r>
              <w:rPr>
                <w:b/>
                <w:color w:val="0000FF"/>
                <w:sz w:val="20"/>
                <w:szCs w:val="20"/>
              </w:rPr>
              <w:t>Strategic Plan for Sponsored Research (Mimi Fenton)</w:t>
            </w:r>
          </w:p>
        </w:tc>
        <w:tc>
          <w:tcPr>
            <w:tcW w:w="6768" w:type="dxa"/>
          </w:tcPr>
          <w:p w:rsidR="00464EC9" w:rsidRDefault="00831552" w:rsidP="00677A74">
            <w:pPr>
              <w:tabs>
                <w:tab w:val="right" w:pos="480"/>
                <w:tab w:val="left" w:pos="1080"/>
                <w:tab w:val="left" w:leader="dot" w:pos="7380"/>
                <w:tab w:val="left" w:pos="7560"/>
              </w:tabs>
              <w:rPr>
                <w:bCs/>
                <w:sz w:val="20"/>
                <w:szCs w:val="20"/>
              </w:rPr>
            </w:pPr>
            <w:r w:rsidRPr="00E72109">
              <w:rPr>
                <w:bCs/>
                <w:sz w:val="20"/>
                <w:szCs w:val="20"/>
              </w:rPr>
              <w:t>Mimi distri</w:t>
            </w:r>
            <w:r>
              <w:rPr>
                <w:bCs/>
                <w:sz w:val="20"/>
                <w:szCs w:val="20"/>
              </w:rPr>
              <w:t xml:space="preserve">buted handout for COD review.  The </w:t>
            </w:r>
            <w:r w:rsidRPr="00E72109">
              <w:rPr>
                <w:bCs/>
                <w:sz w:val="20"/>
                <w:szCs w:val="20"/>
              </w:rPr>
              <w:t>approach to</w:t>
            </w:r>
            <w:r>
              <w:rPr>
                <w:bCs/>
                <w:sz w:val="20"/>
                <w:szCs w:val="20"/>
              </w:rPr>
              <w:t xml:space="preserve"> this  plan is three tiered:  </w:t>
            </w:r>
            <w:r w:rsidRPr="00E72109">
              <w:rPr>
                <w:bCs/>
                <w:sz w:val="20"/>
                <w:szCs w:val="20"/>
              </w:rPr>
              <w:t xml:space="preserve">1) internal focus, operating procedures, personnel, leading with support (culture shift); 2) work internally within </w:t>
            </w:r>
            <w:r w:rsidR="007869E3">
              <w:rPr>
                <w:bCs/>
                <w:sz w:val="20"/>
                <w:szCs w:val="20"/>
              </w:rPr>
              <w:t xml:space="preserve">the </w:t>
            </w:r>
            <w:r w:rsidRPr="00E72109">
              <w:rPr>
                <w:bCs/>
                <w:sz w:val="20"/>
                <w:szCs w:val="20"/>
              </w:rPr>
              <w:t xml:space="preserve">university to tie academics to research; </w:t>
            </w:r>
            <w:r>
              <w:rPr>
                <w:bCs/>
                <w:sz w:val="20"/>
                <w:szCs w:val="20"/>
              </w:rPr>
              <w:t xml:space="preserve">and </w:t>
            </w:r>
            <w:r w:rsidRPr="00E72109">
              <w:rPr>
                <w:bCs/>
                <w:sz w:val="20"/>
                <w:szCs w:val="20"/>
              </w:rPr>
              <w:t>3) work more with external</w:t>
            </w:r>
            <w:r>
              <w:rPr>
                <w:bCs/>
                <w:sz w:val="20"/>
                <w:szCs w:val="20"/>
              </w:rPr>
              <w:t xml:space="preserve"> agencies (office and faculty).  </w:t>
            </w:r>
          </w:p>
          <w:p w:rsidR="00CC6AAE" w:rsidRDefault="00CC6AAE" w:rsidP="00677A74">
            <w:pPr>
              <w:tabs>
                <w:tab w:val="right" w:pos="480"/>
                <w:tab w:val="left" w:pos="1080"/>
                <w:tab w:val="left" w:leader="dot" w:pos="7380"/>
                <w:tab w:val="left" w:pos="7560"/>
              </w:tabs>
              <w:rPr>
                <w:bCs/>
                <w:sz w:val="20"/>
                <w:szCs w:val="20"/>
              </w:rPr>
            </w:pPr>
          </w:p>
          <w:p w:rsidR="00CC6AAE" w:rsidRDefault="00CC6AAE" w:rsidP="00677A74">
            <w:pPr>
              <w:tabs>
                <w:tab w:val="right" w:pos="480"/>
                <w:tab w:val="left" w:pos="1080"/>
                <w:tab w:val="left" w:leader="dot" w:pos="7380"/>
                <w:tab w:val="left" w:pos="7560"/>
              </w:tabs>
              <w:rPr>
                <w:bCs/>
                <w:sz w:val="20"/>
                <w:szCs w:val="20"/>
              </w:rPr>
            </w:pPr>
            <w:r>
              <w:rPr>
                <w:bCs/>
                <w:sz w:val="20"/>
                <w:szCs w:val="20"/>
              </w:rPr>
              <w:t xml:space="preserve">We are </w:t>
            </w:r>
            <w:r w:rsidRPr="00E72109">
              <w:rPr>
                <w:bCs/>
                <w:sz w:val="20"/>
                <w:szCs w:val="20"/>
              </w:rPr>
              <w:t xml:space="preserve">finding we are less and less competitive for </w:t>
            </w:r>
            <w:r>
              <w:rPr>
                <w:bCs/>
                <w:sz w:val="20"/>
                <w:szCs w:val="20"/>
              </w:rPr>
              <w:t>funds that are</w:t>
            </w:r>
            <w:r w:rsidRPr="00E72109">
              <w:rPr>
                <w:bCs/>
                <w:sz w:val="20"/>
                <w:szCs w:val="20"/>
              </w:rPr>
              <w:t xml:space="preserve"> more and more competitive.  </w:t>
            </w:r>
            <w:r>
              <w:rPr>
                <w:bCs/>
                <w:sz w:val="20"/>
                <w:szCs w:val="20"/>
              </w:rPr>
              <w:t>The percentage</w:t>
            </w:r>
            <w:r w:rsidRPr="00E72109">
              <w:rPr>
                <w:bCs/>
                <w:sz w:val="20"/>
                <w:szCs w:val="20"/>
              </w:rPr>
              <w:t xml:space="preserve">s of proposals are being funded less and less.  </w:t>
            </w:r>
            <w:r>
              <w:rPr>
                <w:bCs/>
                <w:sz w:val="20"/>
                <w:szCs w:val="20"/>
              </w:rPr>
              <w:t>Please e</w:t>
            </w:r>
            <w:r w:rsidRPr="00E72109">
              <w:rPr>
                <w:bCs/>
                <w:sz w:val="20"/>
                <w:szCs w:val="20"/>
              </w:rPr>
              <w:t>ncourag</w:t>
            </w:r>
            <w:r>
              <w:rPr>
                <w:bCs/>
                <w:sz w:val="20"/>
                <w:szCs w:val="20"/>
              </w:rPr>
              <w:t>e your faculty to come through Sponsored R</w:t>
            </w:r>
            <w:r w:rsidRPr="00E72109">
              <w:rPr>
                <w:bCs/>
                <w:sz w:val="20"/>
                <w:szCs w:val="20"/>
              </w:rPr>
              <w:t>esearch and they will support them.  This year Andrea Mo</w:t>
            </w:r>
            <w:r>
              <w:rPr>
                <w:bCs/>
                <w:sz w:val="20"/>
                <w:szCs w:val="20"/>
              </w:rPr>
              <w:t>shier is serving in two roles, Certified Research A</w:t>
            </w:r>
            <w:r w:rsidRPr="00E72109">
              <w:rPr>
                <w:bCs/>
                <w:sz w:val="20"/>
                <w:szCs w:val="20"/>
              </w:rPr>
              <w:t>dministra</w:t>
            </w:r>
            <w:r>
              <w:rPr>
                <w:bCs/>
                <w:sz w:val="20"/>
                <w:szCs w:val="20"/>
              </w:rPr>
              <w:t>tor and Compliance O</w:t>
            </w:r>
            <w:r w:rsidRPr="00E72109">
              <w:rPr>
                <w:bCs/>
                <w:sz w:val="20"/>
                <w:szCs w:val="20"/>
              </w:rPr>
              <w:t xml:space="preserve">fficer </w:t>
            </w:r>
            <w:r w:rsidRPr="00F93388">
              <w:rPr>
                <w:bCs/>
                <w:i/>
                <w:sz w:val="20"/>
                <w:szCs w:val="20"/>
              </w:rPr>
              <w:t>and</w:t>
            </w:r>
            <w:r>
              <w:rPr>
                <w:bCs/>
                <w:sz w:val="20"/>
                <w:szCs w:val="20"/>
              </w:rPr>
              <w:t xml:space="preserve"> Acting Director for Sponsored Research.  W</w:t>
            </w:r>
            <w:r w:rsidRPr="00E72109">
              <w:rPr>
                <w:bCs/>
                <w:sz w:val="20"/>
                <w:szCs w:val="20"/>
              </w:rPr>
              <w:t xml:space="preserve">e need to </w:t>
            </w:r>
            <w:r>
              <w:rPr>
                <w:bCs/>
                <w:sz w:val="20"/>
                <w:szCs w:val="20"/>
              </w:rPr>
              <w:t>conduct a search for the Director of Sponsored R</w:t>
            </w:r>
            <w:r w:rsidRPr="00E72109">
              <w:rPr>
                <w:bCs/>
                <w:sz w:val="20"/>
                <w:szCs w:val="20"/>
              </w:rPr>
              <w:t>esearch</w:t>
            </w:r>
            <w:r>
              <w:rPr>
                <w:bCs/>
                <w:sz w:val="20"/>
                <w:szCs w:val="20"/>
              </w:rPr>
              <w:t xml:space="preserve">.  Our plan is to </w:t>
            </w:r>
            <w:r w:rsidRPr="00E72109">
              <w:rPr>
                <w:bCs/>
                <w:sz w:val="20"/>
                <w:szCs w:val="20"/>
              </w:rPr>
              <w:t xml:space="preserve">do </w:t>
            </w:r>
            <w:r>
              <w:rPr>
                <w:bCs/>
                <w:sz w:val="20"/>
                <w:szCs w:val="20"/>
              </w:rPr>
              <w:t xml:space="preserve">a NC search.  Our </w:t>
            </w:r>
            <w:r w:rsidRPr="00E72109">
              <w:rPr>
                <w:bCs/>
                <w:sz w:val="20"/>
                <w:szCs w:val="20"/>
              </w:rPr>
              <w:t>challenge is our salary is very low as comp</w:t>
            </w:r>
            <w:r>
              <w:rPr>
                <w:bCs/>
                <w:sz w:val="20"/>
                <w:szCs w:val="20"/>
              </w:rPr>
              <w:t>ared to others in the system.  The Compliance O</w:t>
            </w:r>
            <w:r w:rsidRPr="00E72109">
              <w:rPr>
                <w:bCs/>
                <w:sz w:val="20"/>
                <w:szCs w:val="20"/>
              </w:rPr>
              <w:t>fficer position needs to be filled as well. Discussion ensued.</w:t>
            </w:r>
          </w:p>
          <w:p w:rsidR="00A35F0B" w:rsidRDefault="00A35F0B" w:rsidP="00677A74">
            <w:pPr>
              <w:tabs>
                <w:tab w:val="right" w:pos="480"/>
                <w:tab w:val="left" w:pos="1080"/>
                <w:tab w:val="left" w:leader="dot" w:pos="7380"/>
                <w:tab w:val="left" w:pos="7560"/>
              </w:tabs>
              <w:rPr>
                <w:bCs/>
                <w:sz w:val="20"/>
                <w:szCs w:val="20"/>
              </w:rPr>
            </w:pPr>
          </w:p>
          <w:p w:rsidR="00A35F0B" w:rsidRPr="00E72109" w:rsidRDefault="00A35F0B" w:rsidP="00A35F0B">
            <w:pPr>
              <w:tabs>
                <w:tab w:val="right" w:pos="480"/>
                <w:tab w:val="left" w:pos="1080"/>
                <w:tab w:val="left" w:leader="dot" w:pos="7380"/>
                <w:tab w:val="left" w:pos="7560"/>
              </w:tabs>
              <w:rPr>
                <w:bCs/>
                <w:sz w:val="20"/>
                <w:szCs w:val="20"/>
              </w:rPr>
            </w:pPr>
            <w:r w:rsidRPr="00E72109">
              <w:rPr>
                <w:bCs/>
                <w:sz w:val="20"/>
                <w:szCs w:val="20"/>
              </w:rPr>
              <w:t xml:space="preserve">COD agreed to move forward with </w:t>
            </w:r>
            <w:r>
              <w:rPr>
                <w:bCs/>
                <w:sz w:val="20"/>
                <w:szCs w:val="20"/>
              </w:rPr>
              <w:t>the search, but</w:t>
            </w:r>
            <w:r w:rsidRPr="00E72109">
              <w:rPr>
                <w:bCs/>
                <w:sz w:val="20"/>
                <w:szCs w:val="20"/>
              </w:rPr>
              <w:t xml:space="preserve"> a national search.  Discussion ensued as to who will chair this search.</w:t>
            </w:r>
          </w:p>
          <w:p w:rsidR="00A35F0B" w:rsidRPr="00E72109" w:rsidRDefault="00A35F0B" w:rsidP="00677A74">
            <w:pPr>
              <w:tabs>
                <w:tab w:val="right" w:pos="480"/>
                <w:tab w:val="left" w:pos="1080"/>
                <w:tab w:val="left" w:leader="dot" w:pos="7380"/>
                <w:tab w:val="left" w:pos="7560"/>
              </w:tabs>
              <w:rPr>
                <w:bCs/>
                <w:sz w:val="20"/>
                <w:szCs w:val="20"/>
              </w:rPr>
            </w:pPr>
          </w:p>
        </w:tc>
      </w:tr>
      <w:tr w:rsidR="00DA0A78" w:rsidTr="00EE00B7">
        <w:tc>
          <w:tcPr>
            <w:tcW w:w="2088" w:type="dxa"/>
          </w:tcPr>
          <w:p w:rsidR="00DA0A78" w:rsidRDefault="00DA0A78" w:rsidP="007712F5">
            <w:pPr>
              <w:rPr>
                <w:b/>
                <w:color w:val="0000FF"/>
                <w:sz w:val="20"/>
                <w:szCs w:val="20"/>
              </w:rPr>
            </w:pPr>
            <w:r>
              <w:rPr>
                <w:b/>
                <w:color w:val="0000FF"/>
                <w:sz w:val="20"/>
                <w:szCs w:val="20"/>
              </w:rPr>
              <w:t>Carnegie Engagement Survey (Betty Farmer)</w:t>
            </w:r>
          </w:p>
        </w:tc>
        <w:tc>
          <w:tcPr>
            <w:tcW w:w="6768" w:type="dxa"/>
          </w:tcPr>
          <w:p w:rsidR="00DA0A78" w:rsidRDefault="00261703" w:rsidP="00677A74">
            <w:pPr>
              <w:tabs>
                <w:tab w:val="right" w:pos="480"/>
                <w:tab w:val="left" w:pos="1080"/>
                <w:tab w:val="left" w:leader="dot" w:pos="7380"/>
                <w:tab w:val="left" w:pos="7560"/>
              </w:tabs>
              <w:rPr>
                <w:bCs/>
                <w:sz w:val="20"/>
                <w:szCs w:val="20"/>
              </w:rPr>
            </w:pPr>
            <w:r>
              <w:rPr>
                <w:bCs/>
                <w:sz w:val="20"/>
                <w:szCs w:val="20"/>
              </w:rPr>
              <w:t xml:space="preserve">Betty provided a handout regarding Carnegie Engagement survey (still not complete).  The goal is to collect data Carnegie requires for this process (documentation for one year).  We are looking at community based activities from spring and summer of 2013.  </w:t>
            </w:r>
            <w:r w:rsidR="008A5389">
              <w:rPr>
                <w:bCs/>
                <w:sz w:val="20"/>
                <w:szCs w:val="20"/>
              </w:rPr>
              <w:t>F</w:t>
            </w:r>
            <w:r>
              <w:rPr>
                <w:bCs/>
                <w:sz w:val="20"/>
                <w:szCs w:val="20"/>
              </w:rPr>
              <w:t>all 2013</w:t>
            </w:r>
            <w:r w:rsidR="008A5389">
              <w:rPr>
                <w:bCs/>
                <w:sz w:val="20"/>
                <w:szCs w:val="20"/>
              </w:rPr>
              <w:t xml:space="preserve"> data will be capture in Spring 2014</w:t>
            </w:r>
            <w:r>
              <w:rPr>
                <w:bCs/>
                <w:sz w:val="20"/>
                <w:szCs w:val="20"/>
              </w:rPr>
              <w:t xml:space="preserve">.  </w:t>
            </w:r>
          </w:p>
          <w:p w:rsidR="00710F53" w:rsidRDefault="00710F53" w:rsidP="00677A74">
            <w:pPr>
              <w:tabs>
                <w:tab w:val="right" w:pos="480"/>
                <w:tab w:val="left" w:pos="1080"/>
                <w:tab w:val="left" w:leader="dot" w:pos="7380"/>
                <w:tab w:val="left" w:pos="7560"/>
              </w:tabs>
              <w:rPr>
                <w:bCs/>
                <w:sz w:val="20"/>
                <w:szCs w:val="20"/>
              </w:rPr>
            </w:pPr>
          </w:p>
          <w:p w:rsidR="00710F53" w:rsidRDefault="00710F53" w:rsidP="00677A74">
            <w:pPr>
              <w:tabs>
                <w:tab w:val="right" w:pos="480"/>
                <w:tab w:val="left" w:pos="1080"/>
                <w:tab w:val="left" w:leader="dot" w:pos="7380"/>
                <w:tab w:val="left" w:pos="7560"/>
              </w:tabs>
              <w:rPr>
                <w:bCs/>
                <w:sz w:val="20"/>
                <w:szCs w:val="20"/>
              </w:rPr>
            </w:pPr>
            <w:r>
              <w:rPr>
                <w:bCs/>
                <w:sz w:val="20"/>
                <w:szCs w:val="20"/>
              </w:rPr>
              <w:t>The three goals are:   1) paint a picture of community based activities faculty are doing</w:t>
            </w:r>
            <w:r w:rsidR="008A5389">
              <w:rPr>
                <w:bCs/>
                <w:sz w:val="20"/>
                <w:szCs w:val="20"/>
              </w:rPr>
              <w:t xml:space="preserve"> and</w:t>
            </w:r>
            <w:r>
              <w:rPr>
                <w:bCs/>
                <w:sz w:val="20"/>
                <w:szCs w:val="20"/>
              </w:rPr>
              <w:t xml:space="preserve"> describe community partners and activities in classes; 2) see if there is any relationship between those community based teaching activities and faculty scholarship; and 3) get at the community benefit – asking faculty members to speculate whether projects they have worked on benefit community partners.   </w:t>
            </w:r>
          </w:p>
          <w:p w:rsidR="001E731A" w:rsidRDefault="001E731A" w:rsidP="00677A74">
            <w:pPr>
              <w:tabs>
                <w:tab w:val="right" w:pos="480"/>
                <w:tab w:val="left" w:pos="1080"/>
                <w:tab w:val="left" w:leader="dot" w:pos="7380"/>
                <w:tab w:val="left" w:pos="7560"/>
              </w:tabs>
              <w:rPr>
                <w:bCs/>
                <w:sz w:val="20"/>
                <w:szCs w:val="20"/>
              </w:rPr>
            </w:pPr>
          </w:p>
          <w:p w:rsidR="001E731A" w:rsidRDefault="001E731A" w:rsidP="00677A74">
            <w:pPr>
              <w:tabs>
                <w:tab w:val="right" w:pos="480"/>
                <w:tab w:val="left" w:pos="1080"/>
                <w:tab w:val="left" w:leader="dot" w:pos="7380"/>
                <w:tab w:val="left" w:pos="7560"/>
              </w:tabs>
              <w:rPr>
                <w:bCs/>
                <w:sz w:val="20"/>
                <w:szCs w:val="20"/>
              </w:rPr>
            </w:pPr>
            <w:r>
              <w:rPr>
                <w:bCs/>
                <w:sz w:val="20"/>
                <w:szCs w:val="20"/>
              </w:rPr>
              <w:t>We hope to get the survey out shortly and hope for a 100% response rate.</w:t>
            </w:r>
            <w:r w:rsidRPr="000942D2">
              <w:rPr>
                <w:bCs/>
                <w:sz w:val="20"/>
                <w:szCs w:val="20"/>
              </w:rPr>
              <w:t xml:space="preserve">  </w:t>
            </w:r>
            <w:r>
              <w:rPr>
                <w:bCs/>
                <w:sz w:val="20"/>
                <w:szCs w:val="20"/>
              </w:rPr>
              <w:t>Deans will be important in encouraging their faculty to participate.</w:t>
            </w:r>
            <w:r w:rsidRPr="000942D2">
              <w:rPr>
                <w:bCs/>
                <w:sz w:val="20"/>
                <w:szCs w:val="20"/>
              </w:rPr>
              <w:t xml:space="preserve">   </w:t>
            </w:r>
            <w:r>
              <w:rPr>
                <w:bCs/>
                <w:sz w:val="20"/>
                <w:szCs w:val="20"/>
              </w:rPr>
              <w:t xml:space="preserve">The survey will go to part time faculty as well as full time.  It is very important as we reapply for the Carnegie engaged status.  Discussion ensued.  </w:t>
            </w:r>
          </w:p>
          <w:p w:rsidR="005F1AC6" w:rsidRDefault="005F1AC6" w:rsidP="00677A74">
            <w:pPr>
              <w:tabs>
                <w:tab w:val="right" w:pos="480"/>
                <w:tab w:val="left" w:pos="1080"/>
                <w:tab w:val="left" w:leader="dot" w:pos="7380"/>
                <w:tab w:val="left" w:pos="7560"/>
              </w:tabs>
              <w:rPr>
                <w:bCs/>
                <w:sz w:val="20"/>
                <w:szCs w:val="20"/>
              </w:rPr>
            </w:pPr>
          </w:p>
          <w:p w:rsidR="005F1AC6" w:rsidRPr="000942D2" w:rsidRDefault="005F1AC6" w:rsidP="005F1AC6">
            <w:pPr>
              <w:tabs>
                <w:tab w:val="right" w:pos="480"/>
                <w:tab w:val="left" w:pos="1080"/>
                <w:tab w:val="left" w:leader="dot" w:pos="7380"/>
                <w:tab w:val="left" w:pos="7560"/>
              </w:tabs>
              <w:rPr>
                <w:bCs/>
                <w:sz w:val="20"/>
                <w:szCs w:val="20"/>
              </w:rPr>
            </w:pPr>
            <w:r>
              <w:rPr>
                <w:bCs/>
                <w:sz w:val="20"/>
                <w:szCs w:val="20"/>
              </w:rPr>
              <w:t>The deans provided feedback on the survey and letter regarding any edits.</w:t>
            </w:r>
            <w:r w:rsidRPr="000942D2">
              <w:rPr>
                <w:bCs/>
                <w:sz w:val="20"/>
                <w:szCs w:val="20"/>
              </w:rPr>
              <w:t xml:space="preserve">   </w:t>
            </w:r>
            <w:r>
              <w:rPr>
                <w:bCs/>
                <w:sz w:val="20"/>
                <w:szCs w:val="20"/>
              </w:rPr>
              <w:t>Please let Betty know if you have faculty tied to Capstone projects where they are not instructor of record but will still need to complete the survey.</w:t>
            </w:r>
            <w:r w:rsidRPr="000942D2">
              <w:rPr>
                <w:bCs/>
                <w:sz w:val="20"/>
                <w:szCs w:val="20"/>
              </w:rPr>
              <w:t xml:space="preserve">                               </w:t>
            </w:r>
          </w:p>
          <w:p w:rsidR="005F1AC6" w:rsidRPr="00E72109" w:rsidRDefault="005F1AC6" w:rsidP="00677A74">
            <w:pPr>
              <w:tabs>
                <w:tab w:val="right" w:pos="480"/>
                <w:tab w:val="left" w:pos="1080"/>
                <w:tab w:val="left" w:leader="dot" w:pos="7380"/>
                <w:tab w:val="left" w:pos="7560"/>
              </w:tabs>
              <w:rPr>
                <w:bCs/>
                <w:sz w:val="20"/>
                <w:szCs w:val="20"/>
              </w:rPr>
            </w:pPr>
          </w:p>
        </w:tc>
      </w:tr>
      <w:tr w:rsidR="002D7754" w:rsidTr="00EE00B7">
        <w:tc>
          <w:tcPr>
            <w:tcW w:w="2088" w:type="dxa"/>
          </w:tcPr>
          <w:p w:rsidR="002D7754" w:rsidRDefault="002D7754">
            <w:pPr>
              <w:rPr>
                <w:rFonts w:ascii="Verdana" w:eastAsiaTheme="minorHAnsi" w:hAnsi="Verdana"/>
                <w:b/>
                <w:bCs/>
                <w:color w:val="0000FF"/>
                <w:sz w:val="20"/>
                <w:szCs w:val="20"/>
              </w:rPr>
            </w:pPr>
            <w:proofErr w:type="spellStart"/>
            <w:r>
              <w:rPr>
                <w:b/>
                <w:bCs/>
                <w:color w:val="0000FF"/>
                <w:sz w:val="20"/>
                <w:szCs w:val="20"/>
              </w:rPr>
              <w:t>Clery</w:t>
            </w:r>
            <w:proofErr w:type="spellEnd"/>
            <w:r>
              <w:rPr>
                <w:b/>
                <w:bCs/>
                <w:color w:val="0000FF"/>
                <w:sz w:val="20"/>
                <w:szCs w:val="20"/>
              </w:rPr>
              <w:t xml:space="preserve"> Act Training (Mary Ann Lochner)</w:t>
            </w:r>
          </w:p>
        </w:tc>
        <w:tc>
          <w:tcPr>
            <w:tcW w:w="6768" w:type="dxa"/>
          </w:tcPr>
          <w:p w:rsidR="002D7754" w:rsidRDefault="002D7754">
            <w:pPr>
              <w:rPr>
                <w:rFonts w:ascii="Verdana" w:eastAsiaTheme="minorHAnsi" w:hAnsi="Verdana"/>
                <w:color w:val="000066"/>
                <w:sz w:val="20"/>
                <w:szCs w:val="20"/>
              </w:rPr>
            </w:pPr>
            <w:r>
              <w:rPr>
                <w:sz w:val="20"/>
                <w:szCs w:val="20"/>
              </w:rPr>
              <w:t xml:space="preserve">We are trying to identify areas of risk including external forces brought to bear – sexual assault, harassment, </w:t>
            </w:r>
            <w:proofErr w:type="spellStart"/>
            <w:r>
              <w:rPr>
                <w:sz w:val="20"/>
                <w:szCs w:val="20"/>
              </w:rPr>
              <w:t>Clery</w:t>
            </w:r>
            <w:proofErr w:type="spellEnd"/>
            <w:r>
              <w:rPr>
                <w:sz w:val="20"/>
                <w:szCs w:val="20"/>
              </w:rPr>
              <w:t xml:space="preserve"> Act, Title IX, etc.  We need your assistance in educating the appropriate individuals in your college.  We request that deans bring certain urgency to this message, that individuals educate themselves about the </w:t>
            </w:r>
            <w:proofErr w:type="spellStart"/>
            <w:r>
              <w:rPr>
                <w:sz w:val="20"/>
                <w:szCs w:val="20"/>
              </w:rPr>
              <w:t>Clery</w:t>
            </w:r>
            <w:proofErr w:type="spellEnd"/>
            <w:r>
              <w:rPr>
                <w:sz w:val="20"/>
                <w:szCs w:val="20"/>
              </w:rPr>
              <w:t xml:space="preserve"> Act – with the understanding that with any complaint, once they are here, they are not constrained to that particular issue.  </w:t>
            </w:r>
          </w:p>
          <w:p w:rsidR="002D7754" w:rsidRDefault="002D7754">
            <w:pPr>
              <w:rPr>
                <w:sz w:val="20"/>
                <w:szCs w:val="20"/>
              </w:rPr>
            </w:pPr>
          </w:p>
          <w:p w:rsidR="002D7754" w:rsidRDefault="002D7754">
            <w:pPr>
              <w:rPr>
                <w:sz w:val="20"/>
                <w:szCs w:val="20"/>
              </w:rPr>
            </w:pPr>
            <w:r>
              <w:rPr>
                <w:sz w:val="20"/>
                <w:szCs w:val="20"/>
              </w:rPr>
              <w:t xml:space="preserve">Regarding CSA training, there are certain individuals that by position /function have been identified in the policy as those that are required to have training – campus security authorities on this campus.  Beth will send a spreadsheet to identify those in your college/area that need training.  </w:t>
            </w:r>
          </w:p>
          <w:p w:rsidR="002D7754" w:rsidRDefault="002D7754">
            <w:pPr>
              <w:rPr>
                <w:sz w:val="20"/>
                <w:szCs w:val="20"/>
              </w:rPr>
            </w:pPr>
          </w:p>
          <w:p w:rsidR="002D7754" w:rsidRDefault="002D7754">
            <w:pPr>
              <w:rPr>
                <w:sz w:val="20"/>
                <w:szCs w:val="20"/>
              </w:rPr>
            </w:pPr>
            <w:r>
              <w:rPr>
                <w:sz w:val="20"/>
                <w:szCs w:val="20"/>
              </w:rPr>
              <w:t xml:space="preserve">Please direct people to policy 116 on the </w:t>
            </w:r>
            <w:proofErr w:type="spellStart"/>
            <w:r>
              <w:rPr>
                <w:sz w:val="20"/>
                <w:szCs w:val="20"/>
              </w:rPr>
              <w:t>Clery</w:t>
            </w:r>
            <w:proofErr w:type="spellEnd"/>
            <w:r>
              <w:rPr>
                <w:sz w:val="20"/>
                <w:szCs w:val="20"/>
              </w:rPr>
              <w:t xml:space="preserve"> Act.  It is very detailed and instructive. We are required to report crimes to police (as noted in the policy).  There is no such thing as “confidential” in the </w:t>
            </w:r>
            <w:proofErr w:type="spellStart"/>
            <w:r>
              <w:rPr>
                <w:sz w:val="20"/>
                <w:szCs w:val="20"/>
              </w:rPr>
              <w:t>Clery</w:t>
            </w:r>
            <w:proofErr w:type="spellEnd"/>
            <w:r>
              <w:rPr>
                <w:sz w:val="20"/>
                <w:szCs w:val="20"/>
              </w:rPr>
              <w:t xml:space="preserve"> Act – if a student reports a crime to you, you must call the police. CSA training is annual and this meeting with Mary Ann qualifies as training for the deans.  We will need to make sure people have taken the training in Blackboard.  It is very quick and simple and will note electronically who has completed it.  It was suggested all faculty take this training but there are still certain people that will be identified in an audit as required. Please refer questions to Mary Ann.</w:t>
            </w:r>
          </w:p>
          <w:p w:rsidR="002D7754" w:rsidRDefault="002D7754">
            <w:pPr>
              <w:rPr>
                <w:sz w:val="20"/>
                <w:szCs w:val="20"/>
              </w:rPr>
            </w:pPr>
          </w:p>
          <w:p w:rsidR="002D7754" w:rsidRDefault="002D7754">
            <w:pPr>
              <w:rPr>
                <w:sz w:val="20"/>
                <w:szCs w:val="20"/>
              </w:rPr>
            </w:pPr>
            <w:r>
              <w:rPr>
                <w:sz w:val="20"/>
                <w:szCs w:val="20"/>
              </w:rPr>
              <w:t xml:space="preserve">Deans asked that Blackboard have this training loaded for all employees and just track those that are required.  Mary Ann will follow up with Sam and let COD know when this has been loaded.  </w:t>
            </w:r>
          </w:p>
          <w:p w:rsidR="002D7754" w:rsidRDefault="002D7754">
            <w:pPr>
              <w:rPr>
                <w:rFonts w:ascii="Verdana" w:eastAsiaTheme="minorHAnsi" w:hAnsi="Verdana"/>
                <w:color w:val="000066"/>
                <w:sz w:val="20"/>
                <w:szCs w:val="20"/>
              </w:rPr>
            </w:pPr>
          </w:p>
        </w:tc>
      </w:tr>
      <w:tr w:rsidR="00506229" w:rsidTr="00EE00B7">
        <w:tc>
          <w:tcPr>
            <w:tcW w:w="2088" w:type="dxa"/>
          </w:tcPr>
          <w:p w:rsidR="00506229" w:rsidRDefault="00506229" w:rsidP="007712F5">
            <w:pPr>
              <w:rPr>
                <w:b/>
                <w:color w:val="0000FF"/>
                <w:sz w:val="20"/>
                <w:szCs w:val="20"/>
              </w:rPr>
            </w:pPr>
            <w:r>
              <w:rPr>
                <w:b/>
                <w:color w:val="0000FF"/>
                <w:sz w:val="20"/>
                <w:szCs w:val="20"/>
              </w:rPr>
              <w:t xml:space="preserve">Provost Candidate Christopher </w:t>
            </w:r>
            <w:proofErr w:type="spellStart"/>
            <w:r>
              <w:rPr>
                <w:b/>
                <w:color w:val="0000FF"/>
                <w:sz w:val="20"/>
                <w:szCs w:val="20"/>
              </w:rPr>
              <w:t>Cirmo</w:t>
            </w:r>
            <w:proofErr w:type="spellEnd"/>
          </w:p>
        </w:tc>
        <w:tc>
          <w:tcPr>
            <w:tcW w:w="6768" w:type="dxa"/>
          </w:tcPr>
          <w:p w:rsidR="00506229" w:rsidRDefault="00506229" w:rsidP="00677A74">
            <w:pPr>
              <w:tabs>
                <w:tab w:val="right" w:pos="480"/>
                <w:tab w:val="left" w:pos="1080"/>
                <w:tab w:val="left" w:leader="dot" w:pos="7380"/>
                <w:tab w:val="left" w:pos="7560"/>
              </w:tabs>
              <w:rPr>
                <w:bCs/>
                <w:sz w:val="20"/>
                <w:szCs w:val="20"/>
              </w:rPr>
            </w:pPr>
            <w:r>
              <w:rPr>
                <w:bCs/>
                <w:sz w:val="20"/>
                <w:szCs w:val="20"/>
              </w:rPr>
              <w:t>COD interviewed the candidate.</w:t>
            </w:r>
          </w:p>
        </w:tc>
      </w:tr>
    </w:tbl>
    <w:p w:rsidR="007A21F9" w:rsidRPr="007A21F9" w:rsidRDefault="007A21F9">
      <w:pPr>
        <w:rPr>
          <w:b/>
          <w:color w:val="0000FF"/>
        </w:rPr>
      </w:pPr>
    </w:p>
    <w:sectPr w:rsidR="007A21F9"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2E" w:rsidRDefault="00C20B2E" w:rsidP="00601324">
      <w:r>
        <w:separator/>
      </w:r>
    </w:p>
  </w:endnote>
  <w:endnote w:type="continuationSeparator" w:id="0">
    <w:p w:rsidR="00C20B2E" w:rsidRDefault="00C20B2E"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3730CA">
          <w:rPr>
            <w:noProof/>
          </w:rPr>
          <w:t>1</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2E" w:rsidRDefault="00C20B2E" w:rsidP="00601324">
      <w:r>
        <w:separator/>
      </w:r>
    </w:p>
  </w:footnote>
  <w:footnote w:type="continuationSeparator" w:id="0">
    <w:p w:rsidR="00C20B2E" w:rsidRDefault="00C20B2E"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1">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39"/>
  </w:num>
  <w:num w:numId="9">
    <w:abstractNumId w:val="19"/>
  </w:num>
  <w:num w:numId="10">
    <w:abstractNumId w:val="28"/>
  </w:num>
  <w:num w:numId="11">
    <w:abstractNumId w:val="38"/>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1"/>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0"/>
  </w:num>
  <w:num w:numId="30">
    <w:abstractNumId w:val="5"/>
  </w:num>
  <w:num w:numId="31">
    <w:abstractNumId w:val="36"/>
  </w:num>
  <w:num w:numId="32">
    <w:abstractNumId w:val="37"/>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3D1B"/>
    <w:rsid w:val="0006502A"/>
    <w:rsid w:val="000723D2"/>
    <w:rsid w:val="00072D3F"/>
    <w:rsid w:val="00075F65"/>
    <w:rsid w:val="00077745"/>
    <w:rsid w:val="00077802"/>
    <w:rsid w:val="0008238B"/>
    <w:rsid w:val="000825E1"/>
    <w:rsid w:val="00087162"/>
    <w:rsid w:val="0008725E"/>
    <w:rsid w:val="000915EE"/>
    <w:rsid w:val="00094282"/>
    <w:rsid w:val="00097863"/>
    <w:rsid w:val="00097A11"/>
    <w:rsid w:val="000A1A14"/>
    <w:rsid w:val="000A2E00"/>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983"/>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8017E"/>
    <w:rsid w:val="001807A8"/>
    <w:rsid w:val="00180BD4"/>
    <w:rsid w:val="0018152B"/>
    <w:rsid w:val="00193A33"/>
    <w:rsid w:val="001A61B6"/>
    <w:rsid w:val="001B3E17"/>
    <w:rsid w:val="001C0883"/>
    <w:rsid w:val="001C52FD"/>
    <w:rsid w:val="001D005B"/>
    <w:rsid w:val="001D44CD"/>
    <w:rsid w:val="001D7597"/>
    <w:rsid w:val="001E0557"/>
    <w:rsid w:val="001E4324"/>
    <w:rsid w:val="001E731A"/>
    <w:rsid w:val="001F13B1"/>
    <w:rsid w:val="001F66D0"/>
    <w:rsid w:val="001F67C4"/>
    <w:rsid w:val="001F79C4"/>
    <w:rsid w:val="00200621"/>
    <w:rsid w:val="002031DB"/>
    <w:rsid w:val="002048F1"/>
    <w:rsid w:val="00211EFA"/>
    <w:rsid w:val="00213AE9"/>
    <w:rsid w:val="002160A8"/>
    <w:rsid w:val="002162FD"/>
    <w:rsid w:val="00217240"/>
    <w:rsid w:val="00225E8C"/>
    <w:rsid w:val="0022699A"/>
    <w:rsid w:val="00233AF2"/>
    <w:rsid w:val="0023565D"/>
    <w:rsid w:val="0023577E"/>
    <w:rsid w:val="00237972"/>
    <w:rsid w:val="00240825"/>
    <w:rsid w:val="00240BE6"/>
    <w:rsid w:val="002440B6"/>
    <w:rsid w:val="002448D8"/>
    <w:rsid w:val="0025069B"/>
    <w:rsid w:val="00251AE3"/>
    <w:rsid w:val="00256FBF"/>
    <w:rsid w:val="00261703"/>
    <w:rsid w:val="00263B2C"/>
    <w:rsid w:val="00267762"/>
    <w:rsid w:val="00267D4D"/>
    <w:rsid w:val="00270532"/>
    <w:rsid w:val="00271573"/>
    <w:rsid w:val="00271654"/>
    <w:rsid w:val="00272366"/>
    <w:rsid w:val="00272C0F"/>
    <w:rsid w:val="00275BD1"/>
    <w:rsid w:val="00283E05"/>
    <w:rsid w:val="00290050"/>
    <w:rsid w:val="002915A6"/>
    <w:rsid w:val="002915F8"/>
    <w:rsid w:val="0029281D"/>
    <w:rsid w:val="00292D72"/>
    <w:rsid w:val="00293D7E"/>
    <w:rsid w:val="002951DC"/>
    <w:rsid w:val="00297F34"/>
    <w:rsid w:val="002A01DB"/>
    <w:rsid w:val="002A15F1"/>
    <w:rsid w:val="002A2972"/>
    <w:rsid w:val="002A5024"/>
    <w:rsid w:val="002A6483"/>
    <w:rsid w:val="002B3812"/>
    <w:rsid w:val="002B5301"/>
    <w:rsid w:val="002C49E2"/>
    <w:rsid w:val="002D22E1"/>
    <w:rsid w:val="002D7754"/>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7DA"/>
    <w:rsid w:val="0032715D"/>
    <w:rsid w:val="00335FA2"/>
    <w:rsid w:val="00336266"/>
    <w:rsid w:val="00341F15"/>
    <w:rsid w:val="00342A4A"/>
    <w:rsid w:val="003447BD"/>
    <w:rsid w:val="003504E3"/>
    <w:rsid w:val="003542E1"/>
    <w:rsid w:val="003561CE"/>
    <w:rsid w:val="003620A5"/>
    <w:rsid w:val="00363AB0"/>
    <w:rsid w:val="00372DE6"/>
    <w:rsid w:val="003730CA"/>
    <w:rsid w:val="00373717"/>
    <w:rsid w:val="003770AE"/>
    <w:rsid w:val="00380ABF"/>
    <w:rsid w:val="00390A23"/>
    <w:rsid w:val="003910CA"/>
    <w:rsid w:val="003939FF"/>
    <w:rsid w:val="00396CF8"/>
    <w:rsid w:val="003A0588"/>
    <w:rsid w:val="003A05CC"/>
    <w:rsid w:val="003A2168"/>
    <w:rsid w:val="003B147E"/>
    <w:rsid w:val="003B2B64"/>
    <w:rsid w:val="003B3C49"/>
    <w:rsid w:val="003C5051"/>
    <w:rsid w:val="003D544B"/>
    <w:rsid w:val="003E2394"/>
    <w:rsid w:val="003E5F12"/>
    <w:rsid w:val="003E7DC5"/>
    <w:rsid w:val="003F0D2F"/>
    <w:rsid w:val="003F1684"/>
    <w:rsid w:val="00401F6B"/>
    <w:rsid w:val="00406FAC"/>
    <w:rsid w:val="00407478"/>
    <w:rsid w:val="00412C11"/>
    <w:rsid w:val="00412EBB"/>
    <w:rsid w:val="00416F0E"/>
    <w:rsid w:val="004172C1"/>
    <w:rsid w:val="00421B3A"/>
    <w:rsid w:val="00421B49"/>
    <w:rsid w:val="004229E1"/>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908"/>
    <w:rsid w:val="0047098E"/>
    <w:rsid w:val="00471B0C"/>
    <w:rsid w:val="00472A62"/>
    <w:rsid w:val="0047427A"/>
    <w:rsid w:val="004745FC"/>
    <w:rsid w:val="00474993"/>
    <w:rsid w:val="00474F91"/>
    <w:rsid w:val="004825C4"/>
    <w:rsid w:val="0048347A"/>
    <w:rsid w:val="00483C75"/>
    <w:rsid w:val="00486C4D"/>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6682"/>
    <w:rsid w:val="004F6F37"/>
    <w:rsid w:val="00500654"/>
    <w:rsid w:val="005054CD"/>
    <w:rsid w:val="00506229"/>
    <w:rsid w:val="00507922"/>
    <w:rsid w:val="005102C1"/>
    <w:rsid w:val="00512213"/>
    <w:rsid w:val="00517492"/>
    <w:rsid w:val="00521C29"/>
    <w:rsid w:val="00523277"/>
    <w:rsid w:val="00526709"/>
    <w:rsid w:val="0052692D"/>
    <w:rsid w:val="00531852"/>
    <w:rsid w:val="005338CF"/>
    <w:rsid w:val="00540CD5"/>
    <w:rsid w:val="005463B9"/>
    <w:rsid w:val="0054755A"/>
    <w:rsid w:val="00547E05"/>
    <w:rsid w:val="00551786"/>
    <w:rsid w:val="005532E5"/>
    <w:rsid w:val="00555458"/>
    <w:rsid w:val="00556F5D"/>
    <w:rsid w:val="00561145"/>
    <w:rsid w:val="00561B63"/>
    <w:rsid w:val="00562A6C"/>
    <w:rsid w:val="0056364D"/>
    <w:rsid w:val="00563755"/>
    <w:rsid w:val="00567397"/>
    <w:rsid w:val="005678C1"/>
    <w:rsid w:val="00570609"/>
    <w:rsid w:val="00572C97"/>
    <w:rsid w:val="00573FC8"/>
    <w:rsid w:val="00582E7A"/>
    <w:rsid w:val="00583FD0"/>
    <w:rsid w:val="00586762"/>
    <w:rsid w:val="00590C50"/>
    <w:rsid w:val="005922F3"/>
    <w:rsid w:val="00595C61"/>
    <w:rsid w:val="005970BD"/>
    <w:rsid w:val="005A2CAC"/>
    <w:rsid w:val="005A5280"/>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7454"/>
    <w:rsid w:val="00660358"/>
    <w:rsid w:val="00662E3D"/>
    <w:rsid w:val="0066579E"/>
    <w:rsid w:val="006702A3"/>
    <w:rsid w:val="00672F05"/>
    <w:rsid w:val="00673573"/>
    <w:rsid w:val="00673686"/>
    <w:rsid w:val="00676275"/>
    <w:rsid w:val="00677A74"/>
    <w:rsid w:val="00680318"/>
    <w:rsid w:val="00682764"/>
    <w:rsid w:val="006853EB"/>
    <w:rsid w:val="006868A6"/>
    <w:rsid w:val="00692F3D"/>
    <w:rsid w:val="00695B81"/>
    <w:rsid w:val="006A033A"/>
    <w:rsid w:val="006A0F72"/>
    <w:rsid w:val="006A1BA8"/>
    <w:rsid w:val="006A2015"/>
    <w:rsid w:val="006A377F"/>
    <w:rsid w:val="006A5375"/>
    <w:rsid w:val="006A5D5F"/>
    <w:rsid w:val="006A6CDB"/>
    <w:rsid w:val="006A78EC"/>
    <w:rsid w:val="006A7DD1"/>
    <w:rsid w:val="006A7FBB"/>
    <w:rsid w:val="006B500F"/>
    <w:rsid w:val="006B7AFE"/>
    <w:rsid w:val="006C3022"/>
    <w:rsid w:val="006C3BDB"/>
    <w:rsid w:val="006C4302"/>
    <w:rsid w:val="006C4BC6"/>
    <w:rsid w:val="006D2E43"/>
    <w:rsid w:val="006D3FE0"/>
    <w:rsid w:val="006D5BA5"/>
    <w:rsid w:val="006E0A44"/>
    <w:rsid w:val="006E1457"/>
    <w:rsid w:val="006E194D"/>
    <w:rsid w:val="006E23AE"/>
    <w:rsid w:val="006E41E1"/>
    <w:rsid w:val="006E7ADC"/>
    <w:rsid w:val="006F2B37"/>
    <w:rsid w:val="006F5976"/>
    <w:rsid w:val="006F708A"/>
    <w:rsid w:val="00701822"/>
    <w:rsid w:val="0070305A"/>
    <w:rsid w:val="0070447D"/>
    <w:rsid w:val="0070585D"/>
    <w:rsid w:val="00710F53"/>
    <w:rsid w:val="00711843"/>
    <w:rsid w:val="00717963"/>
    <w:rsid w:val="00720F17"/>
    <w:rsid w:val="00722EAD"/>
    <w:rsid w:val="0072733D"/>
    <w:rsid w:val="00727EB4"/>
    <w:rsid w:val="0073220A"/>
    <w:rsid w:val="00732882"/>
    <w:rsid w:val="00733339"/>
    <w:rsid w:val="00735249"/>
    <w:rsid w:val="00740EA4"/>
    <w:rsid w:val="00741B98"/>
    <w:rsid w:val="00746428"/>
    <w:rsid w:val="007468DB"/>
    <w:rsid w:val="00750860"/>
    <w:rsid w:val="007539DA"/>
    <w:rsid w:val="00753EB6"/>
    <w:rsid w:val="00754591"/>
    <w:rsid w:val="00754EC9"/>
    <w:rsid w:val="007607FC"/>
    <w:rsid w:val="00763CA7"/>
    <w:rsid w:val="00763CDD"/>
    <w:rsid w:val="007712F5"/>
    <w:rsid w:val="00772498"/>
    <w:rsid w:val="00776372"/>
    <w:rsid w:val="007869E3"/>
    <w:rsid w:val="007901BB"/>
    <w:rsid w:val="00790A39"/>
    <w:rsid w:val="007943CC"/>
    <w:rsid w:val="007A21F9"/>
    <w:rsid w:val="007A2885"/>
    <w:rsid w:val="007A6865"/>
    <w:rsid w:val="007A6CC8"/>
    <w:rsid w:val="007B0D33"/>
    <w:rsid w:val="007B109E"/>
    <w:rsid w:val="007B2237"/>
    <w:rsid w:val="007B5386"/>
    <w:rsid w:val="007C318B"/>
    <w:rsid w:val="007C34DD"/>
    <w:rsid w:val="007C729B"/>
    <w:rsid w:val="007D0430"/>
    <w:rsid w:val="007D3DC9"/>
    <w:rsid w:val="007D68A3"/>
    <w:rsid w:val="007E377C"/>
    <w:rsid w:val="007E443D"/>
    <w:rsid w:val="007E740E"/>
    <w:rsid w:val="007F29FC"/>
    <w:rsid w:val="007F384D"/>
    <w:rsid w:val="007F4B73"/>
    <w:rsid w:val="00800970"/>
    <w:rsid w:val="008055BB"/>
    <w:rsid w:val="00806CCE"/>
    <w:rsid w:val="008141BB"/>
    <w:rsid w:val="008152FB"/>
    <w:rsid w:val="0081769F"/>
    <w:rsid w:val="008206B0"/>
    <w:rsid w:val="00821F45"/>
    <w:rsid w:val="00822F42"/>
    <w:rsid w:val="00826412"/>
    <w:rsid w:val="00831552"/>
    <w:rsid w:val="00832753"/>
    <w:rsid w:val="00844C89"/>
    <w:rsid w:val="008451F2"/>
    <w:rsid w:val="00845793"/>
    <w:rsid w:val="00847896"/>
    <w:rsid w:val="008479BB"/>
    <w:rsid w:val="00850269"/>
    <w:rsid w:val="00860B2C"/>
    <w:rsid w:val="00860B66"/>
    <w:rsid w:val="00861EE5"/>
    <w:rsid w:val="00862EBA"/>
    <w:rsid w:val="00864B57"/>
    <w:rsid w:val="00866BC5"/>
    <w:rsid w:val="00866CF8"/>
    <w:rsid w:val="008761B3"/>
    <w:rsid w:val="00877D3F"/>
    <w:rsid w:val="00882949"/>
    <w:rsid w:val="0088542B"/>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5389"/>
    <w:rsid w:val="008A6430"/>
    <w:rsid w:val="008A7165"/>
    <w:rsid w:val="008B107F"/>
    <w:rsid w:val="008B41F1"/>
    <w:rsid w:val="008B5C82"/>
    <w:rsid w:val="008B74E4"/>
    <w:rsid w:val="008C1080"/>
    <w:rsid w:val="008C2513"/>
    <w:rsid w:val="008C480E"/>
    <w:rsid w:val="008C4F05"/>
    <w:rsid w:val="008D0A30"/>
    <w:rsid w:val="008D3944"/>
    <w:rsid w:val="008D50A5"/>
    <w:rsid w:val="008D662E"/>
    <w:rsid w:val="008E1B8D"/>
    <w:rsid w:val="008E4274"/>
    <w:rsid w:val="008F0257"/>
    <w:rsid w:val="008F2690"/>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93651"/>
    <w:rsid w:val="009954F7"/>
    <w:rsid w:val="00996D60"/>
    <w:rsid w:val="009A13EF"/>
    <w:rsid w:val="009A4FF6"/>
    <w:rsid w:val="009B3F8F"/>
    <w:rsid w:val="009C14E8"/>
    <w:rsid w:val="009C4ECF"/>
    <w:rsid w:val="009C54DD"/>
    <w:rsid w:val="009C5CEC"/>
    <w:rsid w:val="009C72B0"/>
    <w:rsid w:val="009C7684"/>
    <w:rsid w:val="009D1FD1"/>
    <w:rsid w:val="009D3FB4"/>
    <w:rsid w:val="009D4BCA"/>
    <w:rsid w:val="009D56C1"/>
    <w:rsid w:val="009E4FEF"/>
    <w:rsid w:val="009E69D1"/>
    <w:rsid w:val="009E76B6"/>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43DF"/>
    <w:rsid w:val="00A254A3"/>
    <w:rsid w:val="00A2758E"/>
    <w:rsid w:val="00A304F2"/>
    <w:rsid w:val="00A35569"/>
    <w:rsid w:val="00A356D5"/>
    <w:rsid w:val="00A35A42"/>
    <w:rsid w:val="00A35F0B"/>
    <w:rsid w:val="00A36DBB"/>
    <w:rsid w:val="00A43873"/>
    <w:rsid w:val="00A46664"/>
    <w:rsid w:val="00A51914"/>
    <w:rsid w:val="00A54BCA"/>
    <w:rsid w:val="00A55292"/>
    <w:rsid w:val="00A56C4F"/>
    <w:rsid w:val="00A5703F"/>
    <w:rsid w:val="00A573CC"/>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C64"/>
    <w:rsid w:val="00AA22A2"/>
    <w:rsid w:val="00AA48E9"/>
    <w:rsid w:val="00AA7030"/>
    <w:rsid w:val="00AB00D8"/>
    <w:rsid w:val="00AB0ACC"/>
    <w:rsid w:val="00AB2A2D"/>
    <w:rsid w:val="00AB3541"/>
    <w:rsid w:val="00AB3E65"/>
    <w:rsid w:val="00AC2075"/>
    <w:rsid w:val="00AC3362"/>
    <w:rsid w:val="00AD5B5B"/>
    <w:rsid w:val="00AD703C"/>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A57"/>
    <w:rsid w:val="00B47CF1"/>
    <w:rsid w:val="00B5137A"/>
    <w:rsid w:val="00B5321A"/>
    <w:rsid w:val="00B54F1C"/>
    <w:rsid w:val="00B607B1"/>
    <w:rsid w:val="00B60C17"/>
    <w:rsid w:val="00B62DA0"/>
    <w:rsid w:val="00B63F30"/>
    <w:rsid w:val="00B63F60"/>
    <w:rsid w:val="00B662F2"/>
    <w:rsid w:val="00B6755A"/>
    <w:rsid w:val="00B712F4"/>
    <w:rsid w:val="00B72B21"/>
    <w:rsid w:val="00B74DC0"/>
    <w:rsid w:val="00B76A32"/>
    <w:rsid w:val="00B77665"/>
    <w:rsid w:val="00B81776"/>
    <w:rsid w:val="00B8573B"/>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C01780"/>
    <w:rsid w:val="00C0571F"/>
    <w:rsid w:val="00C06369"/>
    <w:rsid w:val="00C10C37"/>
    <w:rsid w:val="00C10C3F"/>
    <w:rsid w:val="00C115D6"/>
    <w:rsid w:val="00C13542"/>
    <w:rsid w:val="00C15D85"/>
    <w:rsid w:val="00C16E54"/>
    <w:rsid w:val="00C20B2E"/>
    <w:rsid w:val="00C213AE"/>
    <w:rsid w:val="00C22C92"/>
    <w:rsid w:val="00C24E2F"/>
    <w:rsid w:val="00C364AC"/>
    <w:rsid w:val="00C368D1"/>
    <w:rsid w:val="00C37B1D"/>
    <w:rsid w:val="00C50D7D"/>
    <w:rsid w:val="00C50E21"/>
    <w:rsid w:val="00C51F0D"/>
    <w:rsid w:val="00C52388"/>
    <w:rsid w:val="00C53444"/>
    <w:rsid w:val="00C53810"/>
    <w:rsid w:val="00C54383"/>
    <w:rsid w:val="00C61340"/>
    <w:rsid w:val="00C61F59"/>
    <w:rsid w:val="00C7278B"/>
    <w:rsid w:val="00C73D7E"/>
    <w:rsid w:val="00C746A4"/>
    <w:rsid w:val="00C77719"/>
    <w:rsid w:val="00C8277F"/>
    <w:rsid w:val="00C84089"/>
    <w:rsid w:val="00C90AEA"/>
    <w:rsid w:val="00C91B04"/>
    <w:rsid w:val="00CA1EFF"/>
    <w:rsid w:val="00CA2B85"/>
    <w:rsid w:val="00CA507D"/>
    <w:rsid w:val="00CA596A"/>
    <w:rsid w:val="00CA71D6"/>
    <w:rsid w:val="00CB090A"/>
    <w:rsid w:val="00CB58CD"/>
    <w:rsid w:val="00CC08FF"/>
    <w:rsid w:val="00CC1C26"/>
    <w:rsid w:val="00CC340A"/>
    <w:rsid w:val="00CC58E4"/>
    <w:rsid w:val="00CC6AAE"/>
    <w:rsid w:val="00CD0879"/>
    <w:rsid w:val="00CD0D6F"/>
    <w:rsid w:val="00CD19FD"/>
    <w:rsid w:val="00CD55C0"/>
    <w:rsid w:val="00CE1190"/>
    <w:rsid w:val="00CE2B3D"/>
    <w:rsid w:val="00CE2F6D"/>
    <w:rsid w:val="00CE4395"/>
    <w:rsid w:val="00CE47E0"/>
    <w:rsid w:val="00CE5A14"/>
    <w:rsid w:val="00CF4D9C"/>
    <w:rsid w:val="00CF7B29"/>
    <w:rsid w:val="00D075DB"/>
    <w:rsid w:val="00D13D81"/>
    <w:rsid w:val="00D14DF4"/>
    <w:rsid w:val="00D17678"/>
    <w:rsid w:val="00D25931"/>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268E"/>
    <w:rsid w:val="00DE53DF"/>
    <w:rsid w:val="00DE55D4"/>
    <w:rsid w:val="00DE63F5"/>
    <w:rsid w:val="00DE72C7"/>
    <w:rsid w:val="00DF33A6"/>
    <w:rsid w:val="00DF3A50"/>
    <w:rsid w:val="00E030AE"/>
    <w:rsid w:val="00E0348E"/>
    <w:rsid w:val="00E049A0"/>
    <w:rsid w:val="00E130D9"/>
    <w:rsid w:val="00E14D1D"/>
    <w:rsid w:val="00E21917"/>
    <w:rsid w:val="00E258DA"/>
    <w:rsid w:val="00E314C3"/>
    <w:rsid w:val="00E3240E"/>
    <w:rsid w:val="00E4185F"/>
    <w:rsid w:val="00E447A7"/>
    <w:rsid w:val="00E454C1"/>
    <w:rsid w:val="00E4620A"/>
    <w:rsid w:val="00E50D6E"/>
    <w:rsid w:val="00E52A1D"/>
    <w:rsid w:val="00E53633"/>
    <w:rsid w:val="00E74E50"/>
    <w:rsid w:val="00E8053D"/>
    <w:rsid w:val="00E81DF7"/>
    <w:rsid w:val="00E84701"/>
    <w:rsid w:val="00E85FA7"/>
    <w:rsid w:val="00E900B1"/>
    <w:rsid w:val="00E91D53"/>
    <w:rsid w:val="00E95366"/>
    <w:rsid w:val="00EA0A20"/>
    <w:rsid w:val="00EA15B0"/>
    <w:rsid w:val="00EA1D26"/>
    <w:rsid w:val="00EA52DC"/>
    <w:rsid w:val="00EA687F"/>
    <w:rsid w:val="00EB27AA"/>
    <w:rsid w:val="00EC2154"/>
    <w:rsid w:val="00ED0EAE"/>
    <w:rsid w:val="00ED1892"/>
    <w:rsid w:val="00ED59A3"/>
    <w:rsid w:val="00EE0048"/>
    <w:rsid w:val="00EE00B7"/>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EB1"/>
    <w:rsid w:val="00F20491"/>
    <w:rsid w:val="00F249EA"/>
    <w:rsid w:val="00F25DC7"/>
    <w:rsid w:val="00F300A0"/>
    <w:rsid w:val="00F3201E"/>
    <w:rsid w:val="00F33DC2"/>
    <w:rsid w:val="00F34850"/>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B0A1F"/>
    <w:rsid w:val="00FC351D"/>
    <w:rsid w:val="00FC6286"/>
    <w:rsid w:val="00FD14D9"/>
    <w:rsid w:val="00FD1F53"/>
    <w:rsid w:val="00FD45C7"/>
    <w:rsid w:val="00FD486C"/>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AF2B-A064-4179-840F-8C7EC743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8677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2013-10-30T20:04:00Z</dcterms:created>
  <dcterms:modified xsi:type="dcterms:W3CDTF">2013-10-30T20:04:00Z</dcterms:modified>
</cp:coreProperties>
</file>