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CC707F"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4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E63EBF" w:rsidP="00595C61">
      <w:pPr>
        <w:tabs>
          <w:tab w:val="left" w:pos="1980"/>
        </w:tabs>
        <w:jc w:val="center"/>
        <w:rPr>
          <w:b/>
          <w:bCs/>
          <w:color w:val="0000FF"/>
        </w:rPr>
      </w:pPr>
      <w:r>
        <w:rPr>
          <w:b/>
          <w:bCs/>
          <w:color w:val="0000FF"/>
        </w:rPr>
        <w:t>October 19</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7337AB" w:rsidRDefault="003D4D0A" w:rsidP="00D660A1">
            <w:pPr>
              <w:rPr>
                <w:sz w:val="20"/>
                <w:szCs w:val="20"/>
              </w:rPr>
            </w:pPr>
            <w:r>
              <w:rPr>
                <w:sz w:val="20"/>
                <w:szCs w:val="20"/>
              </w:rPr>
              <w:t>Bob McMahan, Scott Higgins, Beth Lofquist, Louis Buck, Brian Railsback, Wendy Ford, Robert Kehrberg, Perry Schoon, Regis Gilman, Dana Sally, Linda Stanford, Marie Huff</w:t>
            </w:r>
          </w:p>
          <w:p w:rsidR="003D4D0A" w:rsidRPr="009B07D5" w:rsidRDefault="003D4D0A" w:rsidP="00D660A1">
            <w:pPr>
              <w:rPr>
                <w:sz w:val="20"/>
                <w:szCs w:val="20"/>
              </w:rPr>
            </w:pPr>
          </w:p>
        </w:tc>
      </w:tr>
      <w:tr w:rsidR="00982BCD" w:rsidTr="009B07D5">
        <w:tc>
          <w:tcPr>
            <w:tcW w:w="2088" w:type="dxa"/>
          </w:tcPr>
          <w:p w:rsidR="00A379BC"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7337AB" w:rsidRDefault="003D4D0A" w:rsidP="00C42B5A">
            <w:pPr>
              <w:tabs>
                <w:tab w:val="right" w:pos="480"/>
                <w:tab w:val="left" w:pos="720"/>
              </w:tabs>
              <w:rPr>
                <w:sz w:val="20"/>
                <w:szCs w:val="20"/>
              </w:rPr>
            </w:pPr>
            <w:r>
              <w:rPr>
                <w:sz w:val="20"/>
                <w:szCs w:val="20"/>
              </w:rPr>
              <w:t>Melissa Wargo</w:t>
            </w:r>
          </w:p>
          <w:p w:rsidR="003D4D0A" w:rsidRPr="009B07D5" w:rsidRDefault="003D4D0A" w:rsidP="00C42B5A">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6C4C59" w:rsidRDefault="003D4D0A" w:rsidP="00595C61">
            <w:pPr>
              <w:rPr>
                <w:b/>
                <w:color w:val="0000FF"/>
                <w:sz w:val="20"/>
                <w:szCs w:val="20"/>
              </w:rPr>
            </w:pPr>
            <w:r>
              <w:rPr>
                <w:b/>
                <w:color w:val="0000FF"/>
                <w:sz w:val="20"/>
                <w:szCs w:val="20"/>
              </w:rPr>
              <w:t>BOT Presentation (Linda)</w:t>
            </w:r>
          </w:p>
          <w:p w:rsidR="003D4D0A" w:rsidRPr="00A27AC4" w:rsidRDefault="003D4D0A" w:rsidP="00595C61">
            <w:pPr>
              <w:rPr>
                <w:b/>
                <w:color w:val="0000FF"/>
                <w:sz w:val="20"/>
                <w:szCs w:val="20"/>
              </w:rPr>
            </w:pPr>
          </w:p>
        </w:tc>
        <w:tc>
          <w:tcPr>
            <w:tcW w:w="6768" w:type="dxa"/>
          </w:tcPr>
          <w:p w:rsidR="00912EDD" w:rsidRPr="00D71734" w:rsidRDefault="003D4D0A" w:rsidP="00833F77">
            <w:pPr>
              <w:tabs>
                <w:tab w:val="right" w:pos="480"/>
                <w:tab w:val="left" w:pos="720"/>
              </w:tabs>
              <w:rPr>
                <w:bCs/>
                <w:sz w:val="20"/>
                <w:szCs w:val="20"/>
              </w:rPr>
            </w:pPr>
            <w:r>
              <w:rPr>
                <w:bCs/>
                <w:sz w:val="20"/>
                <w:szCs w:val="20"/>
              </w:rPr>
              <w:t>Poster proposals are due to Linda by 10/20/10.</w:t>
            </w:r>
          </w:p>
        </w:tc>
      </w:tr>
      <w:tr w:rsidR="003D4D0A" w:rsidTr="009B07D5">
        <w:tc>
          <w:tcPr>
            <w:tcW w:w="2088" w:type="dxa"/>
          </w:tcPr>
          <w:p w:rsidR="003D4D0A" w:rsidRDefault="003D4D0A" w:rsidP="00595C61">
            <w:pPr>
              <w:rPr>
                <w:b/>
                <w:color w:val="0000FF"/>
                <w:sz w:val="20"/>
                <w:szCs w:val="20"/>
              </w:rPr>
            </w:pPr>
            <w:r>
              <w:rPr>
                <w:b/>
                <w:color w:val="0000FF"/>
                <w:sz w:val="20"/>
                <w:szCs w:val="20"/>
              </w:rPr>
              <w:t>Honors College (Brian)</w:t>
            </w:r>
          </w:p>
          <w:p w:rsidR="003D4D0A" w:rsidRDefault="003D4D0A" w:rsidP="00595C61">
            <w:pPr>
              <w:rPr>
                <w:b/>
                <w:color w:val="0000FF"/>
                <w:sz w:val="20"/>
                <w:szCs w:val="20"/>
              </w:rPr>
            </w:pPr>
          </w:p>
        </w:tc>
        <w:tc>
          <w:tcPr>
            <w:tcW w:w="6768" w:type="dxa"/>
          </w:tcPr>
          <w:p w:rsidR="003D4D0A" w:rsidRDefault="003D4D0A" w:rsidP="00E23EB3">
            <w:pPr>
              <w:tabs>
                <w:tab w:val="right" w:pos="480"/>
                <w:tab w:val="left" w:pos="720"/>
              </w:tabs>
              <w:rPr>
                <w:bCs/>
                <w:sz w:val="20"/>
                <w:szCs w:val="20"/>
              </w:rPr>
            </w:pPr>
            <w:r>
              <w:rPr>
                <w:bCs/>
                <w:sz w:val="20"/>
                <w:szCs w:val="20"/>
              </w:rPr>
              <w:t>This item is moved to the November 2 COD meeting.</w:t>
            </w:r>
          </w:p>
        </w:tc>
      </w:tr>
      <w:tr w:rsidR="003D4D0A" w:rsidTr="009B07D5">
        <w:tc>
          <w:tcPr>
            <w:tcW w:w="2088" w:type="dxa"/>
          </w:tcPr>
          <w:p w:rsidR="003D4D0A" w:rsidRDefault="003D4D0A" w:rsidP="00595C61">
            <w:pPr>
              <w:rPr>
                <w:b/>
                <w:color w:val="0000FF"/>
                <w:sz w:val="20"/>
                <w:szCs w:val="20"/>
              </w:rPr>
            </w:pPr>
            <w:r>
              <w:rPr>
                <w:b/>
                <w:color w:val="0000FF"/>
                <w:sz w:val="20"/>
                <w:szCs w:val="20"/>
              </w:rPr>
              <w:t>Regis</w:t>
            </w:r>
          </w:p>
        </w:tc>
        <w:tc>
          <w:tcPr>
            <w:tcW w:w="6768" w:type="dxa"/>
          </w:tcPr>
          <w:p w:rsidR="003D4D0A" w:rsidRDefault="003D4D0A" w:rsidP="00E23EB3">
            <w:pPr>
              <w:tabs>
                <w:tab w:val="right" w:pos="480"/>
                <w:tab w:val="left" w:pos="720"/>
              </w:tabs>
              <w:rPr>
                <w:bCs/>
                <w:sz w:val="20"/>
                <w:szCs w:val="20"/>
              </w:rPr>
            </w:pPr>
            <w:r>
              <w:rPr>
                <w:bCs/>
                <w:sz w:val="20"/>
                <w:szCs w:val="20"/>
              </w:rPr>
              <w:t xml:space="preserve">Regis distributed a handout regarding </w:t>
            </w:r>
            <w:proofErr w:type="spellStart"/>
            <w:r>
              <w:rPr>
                <w:bCs/>
                <w:sz w:val="20"/>
                <w:szCs w:val="20"/>
              </w:rPr>
              <w:t>SmarThinking</w:t>
            </w:r>
            <w:proofErr w:type="spellEnd"/>
            <w:r>
              <w:rPr>
                <w:bCs/>
                <w:sz w:val="20"/>
                <w:szCs w:val="20"/>
              </w:rPr>
              <w:t>.</w:t>
            </w:r>
          </w:p>
          <w:p w:rsidR="003D4D0A" w:rsidRDefault="003D4D0A" w:rsidP="00E23EB3">
            <w:pPr>
              <w:tabs>
                <w:tab w:val="right" w:pos="480"/>
                <w:tab w:val="left" w:pos="720"/>
              </w:tabs>
              <w:rPr>
                <w:bCs/>
                <w:sz w:val="20"/>
                <w:szCs w:val="20"/>
              </w:rPr>
            </w:pPr>
          </w:p>
        </w:tc>
      </w:tr>
      <w:tr w:rsidR="003D4D0A" w:rsidTr="009B07D5">
        <w:tc>
          <w:tcPr>
            <w:tcW w:w="2088" w:type="dxa"/>
          </w:tcPr>
          <w:p w:rsidR="003D4D0A" w:rsidRDefault="003D4D0A" w:rsidP="00595C61">
            <w:pPr>
              <w:rPr>
                <w:b/>
                <w:color w:val="0000FF"/>
                <w:sz w:val="20"/>
                <w:szCs w:val="20"/>
              </w:rPr>
            </w:pPr>
            <w:r>
              <w:rPr>
                <w:b/>
                <w:color w:val="0000FF"/>
                <w:sz w:val="20"/>
                <w:szCs w:val="20"/>
              </w:rPr>
              <w:t>Scott</w:t>
            </w:r>
          </w:p>
          <w:p w:rsidR="003D4D0A" w:rsidRDefault="003D4D0A" w:rsidP="00595C61">
            <w:pPr>
              <w:rPr>
                <w:b/>
                <w:color w:val="0000FF"/>
                <w:sz w:val="20"/>
                <w:szCs w:val="20"/>
              </w:rPr>
            </w:pPr>
          </w:p>
        </w:tc>
        <w:tc>
          <w:tcPr>
            <w:tcW w:w="6768" w:type="dxa"/>
          </w:tcPr>
          <w:p w:rsidR="003D4D0A" w:rsidRDefault="003D4D0A" w:rsidP="003D4D0A">
            <w:pPr>
              <w:tabs>
                <w:tab w:val="right" w:pos="480"/>
                <w:tab w:val="left" w:pos="720"/>
              </w:tabs>
              <w:rPr>
                <w:bCs/>
                <w:sz w:val="20"/>
                <w:szCs w:val="20"/>
              </w:rPr>
            </w:pPr>
            <w:r>
              <w:rPr>
                <w:bCs/>
                <w:sz w:val="20"/>
                <w:szCs w:val="20"/>
              </w:rPr>
              <w:t>Scott reminded COD the Graduate Professional Fair is next Tuesday.</w:t>
            </w:r>
          </w:p>
          <w:p w:rsidR="003D4D0A" w:rsidRDefault="003D4D0A" w:rsidP="00E23EB3">
            <w:pPr>
              <w:tabs>
                <w:tab w:val="right" w:pos="480"/>
                <w:tab w:val="left" w:pos="720"/>
              </w:tabs>
              <w:rPr>
                <w:bCs/>
                <w:sz w:val="20"/>
                <w:szCs w:val="20"/>
              </w:rPr>
            </w:pPr>
          </w:p>
        </w:tc>
      </w:tr>
      <w:tr w:rsidR="00445069" w:rsidTr="009B07D5">
        <w:tc>
          <w:tcPr>
            <w:tcW w:w="2088" w:type="dxa"/>
          </w:tcPr>
          <w:p w:rsidR="00445069" w:rsidRDefault="00404978" w:rsidP="00595C61">
            <w:pPr>
              <w:rPr>
                <w:b/>
                <w:color w:val="0000FF"/>
                <w:sz w:val="20"/>
                <w:szCs w:val="20"/>
              </w:rPr>
            </w:pPr>
            <w:r>
              <w:rPr>
                <w:b/>
                <w:color w:val="0000FF"/>
                <w:sz w:val="20"/>
                <w:szCs w:val="20"/>
              </w:rPr>
              <w:t>Minutes</w:t>
            </w:r>
          </w:p>
        </w:tc>
        <w:tc>
          <w:tcPr>
            <w:tcW w:w="6768" w:type="dxa"/>
          </w:tcPr>
          <w:p w:rsidR="00445069" w:rsidRDefault="003D4D0A" w:rsidP="00E23EB3">
            <w:pPr>
              <w:tabs>
                <w:tab w:val="right" w:pos="480"/>
                <w:tab w:val="left" w:pos="720"/>
              </w:tabs>
              <w:rPr>
                <w:sz w:val="20"/>
                <w:szCs w:val="20"/>
              </w:rPr>
            </w:pPr>
            <w:r>
              <w:rPr>
                <w:bCs/>
                <w:sz w:val="20"/>
                <w:szCs w:val="20"/>
              </w:rPr>
              <w:t>There are no minutes.</w:t>
            </w:r>
          </w:p>
          <w:p w:rsidR="001D71F8" w:rsidRDefault="001D71F8" w:rsidP="00E23EB3">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6F5F97" w:rsidRPr="005E407F" w:rsidRDefault="006F5F97" w:rsidP="006F5F97">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B96EE9" w:rsidRPr="00982BCD" w:rsidRDefault="003D4D0A" w:rsidP="00E478B5">
            <w:pPr>
              <w:rPr>
                <w:b/>
                <w:color w:val="0000FF"/>
                <w:sz w:val="20"/>
                <w:szCs w:val="20"/>
              </w:rPr>
            </w:pPr>
            <w:r>
              <w:rPr>
                <w:b/>
                <w:color w:val="0000FF"/>
                <w:sz w:val="20"/>
                <w:szCs w:val="20"/>
              </w:rPr>
              <w:t>Space Management Policy (Melissa Wargo)</w:t>
            </w:r>
          </w:p>
        </w:tc>
        <w:tc>
          <w:tcPr>
            <w:tcW w:w="6768" w:type="dxa"/>
          </w:tcPr>
          <w:p w:rsidR="00A471C7" w:rsidRDefault="003D4D0A" w:rsidP="00221800">
            <w:pPr>
              <w:rPr>
                <w:bCs/>
                <w:sz w:val="20"/>
                <w:szCs w:val="20"/>
              </w:rPr>
            </w:pPr>
            <w:r>
              <w:rPr>
                <w:bCs/>
                <w:sz w:val="20"/>
                <w:szCs w:val="20"/>
              </w:rPr>
              <w:t>COD reviewed</w:t>
            </w:r>
            <w:r w:rsidRPr="006F567B">
              <w:rPr>
                <w:bCs/>
                <w:sz w:val="20"/>
                <w:szCs w:val="20"/>
              </w:rPr>
              <w:t xml:space="preserve"> the latest version of the space management policy.  The most significant changes are</w:t>
            </w:r>
            <w:r>
              <w:rPr>
                <w:bCs/>
                <w:sz w:val="20"/>
                <w:szCs w:val="20"/>
              </w:rPr>
              <w:t>:</w:t>
            </w:r>
            <w:r w:rsidRPr="006F567B">
              <w:rPr>
                <w:bCs/>
                <w:sz w:val="20"/>
                <w:szCs w:val="20"/>
              </w:rPr>
              <w:t xml:space="preserve"> 1)</w:t>
            </w:r>
            <w:r>
              <w:rPr>
                <w:bCs/>
                <w:sz w:val="20"/>
                <w:szCs w:val="20"/>
              </w:rPr>
              <w:t xml:space="preserve"> the</w:t>
            </w:r>
            <w:r w:rsidRPr="006F567B">
              <w:rPr>
                <w:bCs/>
                <w:sz w:val="20"/>
                <w:szCs w:val="20"/>
              </w:rPr>
              <w:t xml:space="preserve"> addition of </w:t>
            </w:r>
            <w:r>
              <w:rPr>
                <w:bCs/>
                <w:sz w:val="20"/>
                <w:szCs w:val="20"/>
              </w:rPr>
              <w:t xml:space="preserve">the </w:t>
            </w:r>
            <w:r w:rsidRPr="006F567B">
              <w:rPr>
                <w:bCs/>
                <w:sz w:val="20"/>
                <w:szCs w:val="20"/>
              </w:rPr>
              <w:t>university registrar and athletics rep</w:t>
            </w:r>
            <w:r>
              <w:rPr>
                <w:bCs/>
                <w:sz w:val="20"/>
                <w:szCs w:val="20"/>
              </w:rPr>
              <w:t>resentative</w:t>
            </w:r>
            <w:r w:rsidRPr="006F567B">
              <w:rPr>
                <w:bCs/>
                <w:sz w:val="20"/>
                <w:szCs w:val="20"/>
              </w:rPr>
              <w:t xml:space="preserve"> to</w:t>
            </w:r>
            <w:r>
              <w:rPr>
                <w:bCs/>
                <w:sz w:val="20"/>
                <w:szCs w:val="20"/>
              </w:rPr>
              <w:t xml:space="preserve"> the</w:t>
            </w:r>
            <w:r w:rsidRPr="006F567B">
              <w:rPr>
                <w:bCs/>
                <w:sz w:val="20"/>
                <w:szCs w:val="20"/>
              </w:rPr>
              <w:t xml:space="preserve"> committee; 2) </w:t>
            </w:r>
            <w:r>
              <w:rPr>
                <w:bCs/>
                <w:sz w:val="20"/>
                <w:szCs w:val="20"/>
              </w:rPr>
              <w:t>the addition of</w:t>
            </w:r>
            <w:r w:rsidRPr="006F567B">
              <w:rPr>
                <w:bCs/>
                <w:sz w:val="20"/>
                <w:szCs w:val="20"/>
              </w:rPr>
              <w:t xml:space="preserve"> a standing sub-committee that </w:t>
            </w:r>
            <w:r>
              <w:rPr>
                <w:bCs/>
                <w:sz w:val="20"/>
                <w:szCs w:val="20"/>
              </w:rPr>
              <w:t>deals only with academic space chaired by Larry with representatives</w:t>
            </w:r>
            <w:r w:rsidRPr="006F567B">
              <w:rPr>
                <w:bCs/>
                <w:sz w:val="20"/>
                <w:szCs w:val="20"/>
              </w:rPr>
              <w:t xml:space="preserve"> from all academic colleges and </w:t>
            </w:r>
            <w:r>
              <w:rPr>
                <w:bCs/>
                <w:sz w:val="20"/>
                <w:szCs w:val="20"/>
              </w:rPr>
              <w:t xml:space="preserve">the </w:t>
            </w:r>
            <w:r w:rsidRPr="006F567B">
              <w:rPr>
                <w:bCs/>
                <w:sz w:val="20"/>
                <w:szCs w:val="20"/>
              </w:rPr>
              <w:t>library.  Discussion ensued</w:t>
            </w:r>
            <w:r>
              <w:rPr>
                <w:bCs/>
                <w:sz w:val="20"/>
                <w:szCs w:val="20"/>
              </w:rPr>
              <w:t>.</w:t>
            </w:r>
          </w:p>
          <w:p w:rsidR="00FD0A2A" w:rsidRDefault="00FD0A2A" w:rsidP="00221800">
            <w:pPr>
              <w:rPr>
                <w:bCs/>
                <w:sz w:val="20"/>
                <w:szCs w:val="20"/>
              </w:rPr>
            </w:pPr>
          </w:p>
          <w:p w:rsidR="00FD0A2A" w:rsidRDefault="00FD0A2A" w:rsidP="00221800">
            <w:pPr>
              <w:rPr>
                <w:bCs/>
                <w:sz w:val="20"/>
                <w:szCs w:val="20"/>
              </w:rPr>
            </w:pPr>
            <w:r>
              <w:rPr>
                <w:bCs/>
                <w:sz w:val="20"/>
                <w:szCs w:val="20"/>
              </w:rPr>
              <w:t>It was suggested they add someone from Educational Outreach</w:t>
            </w:r>
            <w:r w:rsidRPr="006F567B">
              <w:rPr>
                <w:bCs/>
                <w:sz w:val="20"/>
                <w:szCs w:val="20"/>
              </w:rPr>
              <w:t>.  Discussion ensured regarding</w:t>
            </w:r>
            <w:r>
              <w:rPr>
                <w:bCs/>
                <w:sz w:val="20"/>
                <w:szCs w:val="20"/>
              </w:rPr>
              <w:t xml:space="preserve"> adding</w:t>
            </w:r>
            <w:r w:rsidRPr="006F567B">
              <w:rPr>
                <w:bCs/>
                <w:sz w:val="20"/>
                <w:szCs w:val="20"/>
              </w:rPr>
              <w:t xml:space="preserve"> additional members from Academic Affairs aside from Melissa, Larry and Alison.  </w:t>
            </w:r>
          </w:p>
          <w:p w:rsidR="00FD0A2A" w:rsidRDefault="00FD0A2A" w:rsidP="00221800">
            <w:pPr>
              <w:rPr>
                <w:bCs/>
                <w:sz w:val="20"/>
                <w:szCs w:val="20"/>
              </w:rPr>
            </w:pPr>
          </w:p>
          <w:p w:rsidR="00FD0A2A" w:rsidRDefault="00DB21BB" w:rsidP="00221800">
            <w:pPr>
              <w:rPr>
                <w:bCs/>
                <w:sz w:val="20"/>
                <w:szCs w:val="20"/>
              </w:rPr>
            </w:pPr>
            <w:r w:rsidRPr="006F567B">
              <w:rPr>
                <w:bCs/>
                <w:sz w:val="20"/>
                <w:szCs w:val="20"/>
              </w:rPr>
              <w:t>SMC does not have</w:t>
            </w:r>
            <w:r>
              <w:rPr>
                <w:bCs/>
                <w:sz w:val="20"/>
                <w:szCs w:val="20"/>
              </w:rPr>
              <w:t xml:space="preserve"> a budget for renovation.  If the cost is more than $500,000, that is</w:t>
            </w:r>
            <w:r w:rsidRPr="006F567B">
              <w:rPr>
                <w:bCs/>
                <w:sz w:val="20"/>
                <w:szCs w:val="20"/>
              </w:rPr>
              <w:t xml:space="preserve"> the responsibil</w:t>
            </w:r>
            <w:r>
              <w:rPr>
                <w:bCs/>
                <w:sz w:val="20"/>
                <w:szCs w:val="20"/>
              </w:rPr>
              <w:t>ity of the college/department.  I</w:t>
            </w:r>
            <w:r w:rsidRPr="006F567B">
              <w:rPr>
                <w:bCs/>
                <w:sz w:val="20"/>
                <w:szCs w:val="20"/>
              </w:rPr>
              <w:t>f</w:t>
            </w:r>
            <w:r>
              <w:rPr>
                <w:bCs/>
                <w:sz w:val="20"/>
                <w:szCs w:val="20"/>
              </w:rPr>
              <w:t xml:space="preserve"> it is</w:t>
            </w:r>
            <w:r w:rsidRPr="006F567B">
              <w:rPr>
                <w:bCs/>
                <w:sz w:val="20"/>
                <w:szCs w:val="20"/>
              </w:rPr>
              <w:t xml:space="preserve"> over that amount</w:t>
            </w:r>
            <w:r>
              <w:rPr>
                <w:bCs/>
                <w:sz w:val="20"/>
                <w:szCs w:val="20"/>
              </w:rPr>
              <w:t>, it</w:t>
            </w:r>
            <w:r w:rsidRPr="006F567B">
              <w:rPr>
                <w:bCs/>
                <w:sz w:val="20"/>
                <w:szCs w:val="20"/>
              </w:rPr>
              <w:t xml:space="preserve"> </w:t>
            </w:r>
            <w:r>
              <w:rPr>
                <w:bCs/>
                <w:sz w:val="20"/>
                <w:szCs w:val="20"/>
              </w:rPr>
              <w:t>must</w:t>
            </w:r>
            <w:r w:rsidRPr="006F567B">
              <w:rPr>
                <w:bCs/>
                <w:sz w:val="20"/>
                <w:szCs w:val="20"/>
              </w:rPr>
              <w:t xml:space="preserve"> go to Joe Walker for an estimate. If </w:t>
            </w:r>
            <w:r>
              <w:rPr>
                <w:bCs/>
                <w:sz w:val="20"/>
                <w:szCs w:val="20"/>
              </w:rPr>
              <w:t>a dean</w:t>
            </w:r>
            <w:r w:rsidRPr="006F567B">
              <w:rPr>
                <w:bCs/>
                <w:sz w:val="20"/>
                <w:szCs w:val="20"/>
              </w:rPr>
              <w:t xml:space="preserve"> wanted to make a change to a </w:t>
            </w:r>
            <w:r w:rsidRPr="006F567B">
              <w:rPr>
                <w:bCs/>
                <w:sz w:val="20"/>
                <w:szCs w:val="20"/>
              </w:rPr>
              <w:lastRenderedPageBreak/>
              <w:t>classroom that affects other colleges, a recommendation is made to SM</w:t>
            </w:r>
            <w:r>
              <w:rPr>
                <w:bCs/>
                <w:sz w:val="20"/>
                <w:szCs w:val="20"/>
              </w:rPr>
              <w:t>C</w:t>
            </w:r>
            <w:r w:rsidRPr="006F567B">
              <w:rPr>
                <w:bCs/>
                <w:sz w:val="20"/>
                <w:szCs w:val="20"/>
              </w:rPr>
              <w:t xml:space="preserve"> then forwarded to EC.  SMC does not have a budget – role is to advise EC.  It has operated in an advisory role for its entire existence.  </w:t>
            </w:r>
          </w:p>
          <w:p w:rsidR="00E60598" w:rsidRDefault="00E60598" w:rsidP="00221800">
            <w:pPr>
              <w:rPr>
                <w:bCs/>
                <w:sz w:val="20"/>
                <w:szCs w:val="20"/>
              </w:rPr>
            </w:pPr>
          </w:p>
          <w:p w:rsidR="00E60598" w:rsidRDefault="00E60598" w:rsidP="00221800">
            <w:pPr>
              <w:rPr>
                <w:bCs/>
                <w:sz w:val="20"/>
                <w:szCs w:val="20"/>
              </w:rPr>
            </w:pPr>
            <w:r w:rsidRPr="006F567B">
              <w:rPr>
                <w:bCs/>
                <w:sz w:val="20"/>
                <w:szCs w:val="20"/>
              </w:rPr>
              <w:t xml:space="preserve">Do we want Melissa to recommend Academic Affairs have representation on this committee?  </w:t>
            </w:r>
            <w:r>
              <w:rPr>
                <w:bCs/>
                <w:sz w:val="20"/>
                <w:szCs w:val="20"/>
              </w:rPr>
              <w:t>The deans agreed they</w:t>
            </w:r>
            <w:r w:rsidRPr="006F567B">
              <w:rPr>
                <w:bCs/>
                <w:sz w:val="20"/>
                <w:szCs w:val="20"/>
              </w:rPr>
              <w:t xml:space="preserve"> want</w:t>
            </w:r>
            <w:r w:rsidR="00562C32">
              <w:rPr>
                <w:bCs/>
                <w:sz w:val="20"/>
                <w:szCs w:val="20"/>
              </w:rPr>
              <w:t xml:space="preserve"> a dean</w:t>
            </w:r>
            <w:r>
              <w:rPr>
                <w:bCs/>
                <w:sz w:val="20"/>
                <w:szCs w:val="20"/>
              </w:rPr>
              <w:t xml:space="preserve"> to be part of this committee</w:t>
            </w:r>
            <w:r w:rsidRPr="006F567B">
              <w:rPr>
                <w:bCs/>
                <w:sz w:val="20"/>
                <w:szCs w:val="20"/>
              </w:rPr>
              <w:t xml:space="preserve">.  There was stiff resistance to </w:t>
            </w:r>
            <w:r>
              <w:rPr>
                <w:bCs/>
                <w:sz w:val="20"/>
                <w:szCs w:val="20"/>
              </w:rPr>
              <w:t>having a single dean sit on the</w:t>
            </w:r>
            <w:r w:rsidRPr="006F567B">
              <w:rPr>
                <w:bCs/>
                <w:sz w:val="20"/>
                <w:szCs w:val="20"/>
              </w:rPr>
              <w:t xml:space="preserve"> committee – felt the dean would be more likely to advocate for their </w:t>
            </w:r>
            <w:r>
              <w:rPr>
                <w:bCs/>
                <w:sz w:val="20"/>
                <w:szCs w:val="20"/>
              </w:rPr>
              <w:t xml:space="preserve">own </w:t>
            </w:r>
            <w:r w:rsidRPr="006F567B">
              <w:rPr>
                <w:bCs/>
                <w:sz w:val="20"/>
                <w:szCs w:val="20"/>
              </w:rPr>
              <w:t>college rather than the whole university.</w:t>
            </w:r>
          </w:p>
          <w:p w:rsidR="00A8245D" w:rsidRDefault="00A8245D" w:rsidP="00221800">
            <w:pPr>
              <w:rPr>
                <w:bCs/>
                <w:sz w:val="20"/>
                <w:szCs w:val="20"/>
              </w:rPr>
            </w:pPr>
          </w:p>
          <w:p w:rsidR="00A8245D" w:rsidRDefault="00A8245D" w:rsidP="00221800">
            <w:pPr>
              <w:rPr>
                <w:bCs/>
                <w:sz w:val="20"/>
                <w:szCs w:val="20"/>
              </w:rPr>
            </w:pPr>
            <w:r w:rsidRPr="006F567B">
              <w:rPr>
                <w:bCs/>
                <w:sz w:val="20"/>
                <w:szCs w:val="20"/>
              </w:rPr>
              <w:t>Other changes are minor – clarifying how decisions are m</w:t>
            </w:r>
            <w:r>
              <w:rPr>
                <w:bCs/>
                <w:sz w:val="20"/>
                <w:szCs w:val="20"/>
              </w:rPr>
              <w:t>ade, etc.  ASMS will become non-</w:t>
            </w:r>
            <w:r w:rsidRPr="006F567B">
              <w:rPr>
                <w:bCs/>
                <w:sz w:val="20"/>
                <w:szCs w:val="20"/>
              </w:rPr>
              <w:t xml:space="preserve">voting members but </w:t>
            </w:r>
            <w:r>
              <w:rPr>
                <w:bCs/>
                <w:sz w:val="20"/>
                <w:szCs w:val="20"/>
              </w:rPr>
              <w:t xml:space="preserve">will receive all the correspondence.  We will </w:t>
            </w:r>
            <w:r w:rsidRPr="006F567B">
              <w:rPr>
                <w:bCs/>
                <w:sz w:val="20"/>
                <w:szCs w:val="20"/>
              </w:rPr>
              <w:t>form a permanent sub-com</w:t>
            </w:r>
            <w:r>
              <w:rPr>
                <w:bCs/>
                <w:sz w:val="20"/>
                <w:szCs w:val="20"/>
              </w:rPr>
              <w:t>mittee</w:t>
            </w:r>
            <w:r w:rsidRPr="006F567B">
              <w:rPr>
                <w:bCs/>
                <w:sz w:val="20"/>
                <w:szCs w:val="20"/>
              </w:rPr>
              <w:t xml:space="preserve"> which would vote on academic allocations of space and bring forth their recommendations to the chair of the larger committee.  </w:t>
            </w:r>
          </w:p>
          <w:p w:rsidR="00A8245D" w:rsidRDefault="00A8245D" w:rsidP="00221800">
            <w:pPr>
              <w:rPr>
                <w:bCs/>
                <w:sz w:val="20"/>
                <w:szCs w:val="20"/>
              </w:rPr>
            </w:pPr>
          </w:p>
          <w:p w:rsidR="00EF7184" w:rsidRDefault="00A8245D" w:rsidP="00221800">
            <w:pPr>
              <w:rPr>
                <w:bCs/>
                <w:sz w:val="20"/>
                <w:szCs w:val="20"/>
              </w:rPr>
            </w:pPr>
            <w:r>
              <w:rPr>
                <w:bCs/>
                <w:sz w:val="20"/>
                <w:szCs w:val="20"/>
              </w:rPr>
              <w:t>We a</w:t>
            </w:r>
            <w:r w:rsidRPr="006F567B">
              <w:rPr>
                <w:bCs/>
                <w:sz w:val="20"/>
                <w:szCs w:val="20"/>
              </w:rPr>
              <w:t xml:space="preserve">lso clarified special purpose space which now includes all academic space.  Melissa reviewed other changes in the policy.  </w:t>
            </w:r>
          </w:p>
          <w:p w:rsidR="00EF7184" w:rsidRDefault="00EF7184" w:rsidP="00221800">
            <w:pPr>
              <w:rPr>
                <w:bCs/>
                <w:sz w:val="20"/>
                <w:szCs w:val="20"/>
              </w:rPr>
            </w:pPr>
          </w:p>
          <w:p w:rsidR="00EF7184" w:rsidRDefault="00EF7184" w:rsidP="00221800">
            <w:pPr>
              <w:rPr>
                <w:bCs/>
                <w:sz w:val="20"/>
                <w:szCs w:val="20"/>
              </w:rPr>
            </w:pPr>
            <w:r w:rsidRPr="006F567B">
              <w:rPr>
                <w:bCs/>
                <w:sz w:val="20"/>
                <w:szCs w:val="20"/>
              </w:rPr>
              <w:t xml:space="preserve">Scott brought </w:t>
            </w:r>
            <w:r>
              <w:rPr>
                <w:bCs/>
                <w:sz w:val="20"/>
                <w:szCs w:val="20"/>
              </w:rPr>
              <w:t>up one other item</w:t>
            </w:r>
            <w:r w:rsidRPr="006F567B">
              <w:rPr>
                <w:bCs/>
                <w:sz w:val="20"/>
                <w:szCs w:val="20"/>
              </w:rPr>
              <w:t xml:space="preserve">….approval taking place </w:t>
            </w:r>
            <w:r>
              <w:rPr>
                <w:bCs/>
                <w:sz w:val="20"/>
                <w:szCs w:val="20"/>
              </w:rPr>
              <w:t xml:space="preserve">early on </w:t>
            </w:r>
            <w:r w:rsidRPr="006F567B">
              <w:rPr>
                <w:bCs/>
                <w:sz w:val="20"/>
                <w:szCs w:val="20"/>
              </w:rPr>
              <w:t>so budget</w:t>
            </w:r>
            <w:r>
              <w:rPr>
                <w:bCs/>
                <w:sz w:val="20"/>
                <w:szCs w:val="20"/>
              </w:rPr>
              <w:t>s</w:t>
            </w:r>
            <w:r w:rsidRPr="006F567B">
              <w:rPr>
                <w:bCs/>
                <w:sz w:val="20"/>
                <w:szCs w:val="20"/>
              </w:rPr>
              <w:t xml:space="preserve"> can absorb and pay for it especially if there are no resources and moves are not voluntary.</w:t>
            </w:r>
          </w:p>
          <w:p w:rsidR="00EF7184" w:rsidRPr="00892709" w:rsidRDefault="00EF7184" w:rsidP="00221800">
            <w:pPr>
              <w:rPr>
                <w:sz w:val="20"/>
                <w:szCs w:val="20"/>
              </w:rPr>
            </w:pPr>
          </w:p>
        </w:tc>
      </w:tr>
      <w:tr w:rsidR="006B218F" w:rsidTr="009B07D5">
        <w:tc>
          <w:tcPr>
            <w:tcW w:w="2088" w:type="dxa"/>
          </w:tcPr>
          <w:p w:rsidR="006B218F" w:rsidRPr="00EF7184" w:rsidRDefault="00EF7184" w:rsidP="00EF7184">
            <w:pPr>
              <w:jc w:val="right"/>
              <w:rPr>
                <w:b/>
                <w:i/>
                <w:color w:val="0000FF"/>
                <w:sz w:val="20"/>
                <w:szCs w:val="20"/>
              </w:rPr>
            </w:pPr>
            <w:r>
              <w:rPr>
                <w:b/>
                <w:i/>
                <w:color w:val="0000FF"/>
                <w:sz w:val="20"/>
                <w:szCs w:val="20"/>
              </w:rPr>
              <w:lastRenderedPageBreak/>
              <w:t>Action Item</w:t>
            </w:r>
          </w:p>
        </w:tc>
        <w:tc>
          <w:tcPr>
            <w:tcW w:w="6768" w:type="dxa"/>
          </w:tcPr>
          <w:p w:rsidR="00EF7184" w:rsidRDefault="00EF7184" w:rsidP="00EF7184">
            <w:pPr>
              <w:rPr>
                <w:bCs/>
                <w:sz w:val="20"/>
                <w:szCs w:val="20"/>
              </w:rPr>
            </w:pPr>
            <w:r w:rsidRPr="006F567B">
              <w:rPr>
                <w:bCs/>
                <w:sz w:val="20"/>
                <w:szCs w:val="20"/>
              </w:rPr>
              <w:t>Linda wants to bring thi</w:t>
            </w:r>
            <w:r>
              <w:rPr>
                <w:bCs/>
                <w:sz w:val="20"/>
                <w:szCs w:val="20"/>
              </w:rPr>
              <w:t xml:space="preserve">s policy back one more time </w:t>
            </w:r>
            <w:r w:rsidRPr="006F567B">
              <w:rPr>
                <w:bCs/>
                <w:sz w:val="20"/>
                <w:szCs w:val="20"/>
              </w:rPr>
              <w:t xml:space="preserve">after Melissa returns from a space conference she is attending.  </w:t>
            </w:r>
          </w:p>
          <w:p w:rsidR="00E966C2" w:rsidRPr="00892709" w:rsidRDefault="00E966C2" w:rsidP="00E700E2">
            <w:pPr>
              <w:tabs>
                <w:tab w:val="right" w:pos="480"/>
                <w:tab w:val="left" w:pos="1080"/>
                <w:tab w:val="left" w:leader="dot" w:pos="7380"/>
                <w:tab w:val="left" w:pos="7560"/>
              </w:tabs>
              <w:rPr>
                <w:sz w:val="20"/>
                <w:szCs w:val="20"/>
              </w:rPr>
            </w:pPr>
          </w:p>
        </w:tc>
      </w:tr>
      <w:tr w:rsidR="006B218F" w:rsidTr="009B07D5">
        <w:tc>
          <w:tcPr>
            <w:tcW w:w="2088" w:type="dxa"/>
          </w:tcPr>
          <w:p w:rsidR="00331652" w:rsidRPr="00576F0E" w:rsidRDefault="00576F0E" w:rsidP="00576F0E">
            <w:pPr>
              <w:rPr>
                <w:b/>
                <w:color w:val="0000FF"/>
                <w:sz w:val="20"/>
                <w:szCs w:val="20"/>
              </w:rPr>
            </w:pPr>
            <w:r>
              <w:rPr>
                <w:b/>
                <w:color w:val="0000FF"/>
                <w:sz w:val="20"/>
                <w:szCs w:val="20"/>
              </w:rPr>
              <w:t>Partners in Student Learning (Glenda Hensley and Shawna Young)</w:t>
            </w:r>
          </w:p>
        </w:tc>
        <w:tc>
          <w:tcPr>
            <w:tcW w:w="6768" w:type="dxa"/>
          </w:tcPr>
          <w:p w:rsidR="007B21CB" w:rsidRDefault="00576F0E" w:rsidP="00B862E7">
            <w:pPr>
              <w:rPr>
                <w:bCs/>
                <w:sz w:val="20"/>
                <w:szCs w:val="20"/>
              </w:rPr>
            </w:pPr>
            <w:r w:rsidRPr="00316409">
              <w:rPr>
                <w:bCs/>
                <w:sz w:val="20"/>
                <w:szCs w:val="20"/>
              </w:rPr>
              <w:t>Glenda distributed a handout to COD and provided a quick video presentation – Partners</w:t>
            </w:r>
            <w:r>
              <w:rPr>
                <w:bCs/>
                <w:sz w:val="20"/>
                <w:szCs w:val="20"/>
              </w:rPr>
              <w:t xml:space="preserve"> in Student Learning Program.  This program h</w:t>
            </w:r>
            <w:r w:rsidRPr="00316409">
              <w:rPr>
                <w:bCs/>
                <w:sz w:val="20"/>
                <w:szCs w:val="20"/>
              </w:rPr>
              <w:t xml:space="preserve">as its roots in </w:t>
            </w:r>
            <w:r>
              <w:rPr>
                <w:bCs/>
                <w:sz w:val="20"/>
                <w:szCs w:val="20"/>
              </w:rPr>
              <w:t xml:space="preserve">the </w:t>
            </w:r>
            <w:r w:rsidRPr="00316409">
              <w:rPr>
                <w:bCs/>
                <w:sz w:val="20"/>
                <w:szCs w:val="20"/>
              </w:rPr>
              <w:t>committee for student learning where primary focu</w:t>
            </w:r>
            <w:r>
              <w:rPr>
                <w:bCs/>
                <w:sz w:val="20"/>
                <w:szCs w:val="20"/>
              </w:rPr>
              <w:t>s was creating bridges between S</w:t>
            </w:r>
            <w:r w:rsidRPr="00316409">
              <w:rPr>
                <w:bCs/>
                <w:sz w:val="20"/>
                <w:szCs w:val="20"/>
              </w:rPr>
              <w:t xml:space="preserve">tudent </w:t>
            </w:r>
            <w:r>
              <w:rPr>
                <w:bCs/>
                <w:sz w:val="20"/>
                <w:szCs w:val="20"/>
              </w:rPr>
              <w:t xml:space="preserve">Affairs and Academic </w:t>
            </w:r>
            <w:r w:rsidR="00D15A6E">
              <w:rPr>
                <w:bCs/>
                <w:sz w:val="20"/>
                <w:szCs w:val="20"/>
              </w:rPr>
              <w:t>A</w:t>
            </w:r>
            <w:r w:rsidR="00D15A6E" w:rsidRPr="00316409">
              <w:rPr>
                <w:bCs/>
                <w:sz w:val="20"/>
                <w:szCs w:val="20"/>
              </w:rPr>
              <w:t>ffairs -</w:t>
            </w:r>
            <w:r w:rsidRPr="00316409">
              <w:rPr>
                <w:bCs/>
                <w:sz w:val="20"/>
                <w:szCs w:val="20"/>
              </w:rPr>
              <w:t xml:space="preserve"> addressing complex issue</w:t>
            </w:r>
            <w:r w:rsidR="008C5F15">
              <w:rPr>
                <w:bCs/>
                <w:sz w:val="20"/>
                <w:szCs w:val="20"/>
              </w:rPr>
              <w:t>s that involve both entities --w</w:t>
            </w:r>
            <w:r w:rsidRPr="00316409">
              <w:rPr>
                <w:bCs/>
                <w:sz w:val="20"/>
                <w:szCs w:val="20"/>
              </w:rPr>
              <w:t>ill be documenting</w:t>
            </w:r>
            <w:r>
              <w:rPr>
                <w:bCs/>
                <w:sz w:val="20"/>
                <w:szCs w:val="20"/>
              </w:rPr>
              <w:t xml:space="preserve"> our efforts</w:t>
            </w:r>
            <w:r w:rsidRPr="00316409">
              <w:rPr>
                <w:bCs/>
                <w:sz w:val="20"/>
                <w:szCs w:val="20"/>
              </w:rPr>
              <w:t xml:space="preserve"> throughout the year and making that information available</w:t>
            </w:r>
            <w:r>
              <w:rPr>
                <w:bCs/>
                <w:sz w:val="20"/>
                <w:szCs w:val="20"/>
              </w:rPr>
              <w:t>.</w:t>
            </w:r>
          </w:p>
          <w:p w:rsidR="00D15A6E" w:rsidRDefault="00D15A6E" w:rsidP="00B862E7">
            <w:pPr>
              <w:rPr>
                <w:bCs/>
                <w:sz w:val="20"/>
                <w:szCs w:val="20"/>
              </w:rPr>
            </w:pPr>
          </w:p>
          <w:p w:rsidR="00D15A6E" w:rsidRDefault="00D15A6E" w:rsidP="00B862E7">
            <w:pPr>
              <w:rPr>
                <w:bCs/>
                <w:sz w:val="20"/>
                <w:szCs w:val="20"/>
              </w:rPr>
            </w:pPr>
            <w:r>
              <w:rPr>
                <w:bCs/>
                <w:sz w:val="20"/>
                <w:szCs w:val="20"/>
              </w:rPr>
              <w:t>We have t</w:t>
            </w:r>
            <w:r w:rsidRPr="00316409">
              <w:rPr>
                <w:bCs/>
                <w:sz w:val="20"/>
                <w:szCs w:val="20"/>
              </w:rPr>
              <w:t xml:space="preserve">wo major initiatives – </w:t>
            </w:r>
            <w:commentRangeStart w:id="0"/>
            <w:r w:rsidRPr="00316409">
              <w:rPr>
                <w:bCs/>
                <w:sz w:val="20"/>
                <w:szCs w:val="20"/>
              </w:rPr>
              <w:t>Adult</w:t>
            </w:r>
            <w:commentRangeEnd w:id="0"/>
            <w:r w:rsidR="008C5F15">
              <w:rPr>
                <w:rStyle w:val="CommentReference"/>
              </w:rPr>
              <w:commentReference w:id="0"/>
            </w:r>
            <w:r w:rsidRPr="00316409">
              <w:rPr>
                <w:bCs/>
                <w:sz w:val="20"/>
                <w:szCs w:val="20"/>
              </w:rPr>
              <w:t xml:space="preserve"> Learning Communities and Transfe</w:t>
            </w:r>
            <w:r>
              <w:rPr>
                <w:bCs/>
                <w:sz w:val="20"/>
                <w:szCs w:val="20"/>
              </w:rPr>
              <w:t>r Advisory Group. We have</w:t>
            </w:r>
            <w:r w:rsidRPr="00316409">
              <w:rPr>
                <w:bCs/>
                <w:sz w:val="20"/>
                <w:szCs w:val="20"/>
              </w:rPr>
              <w:t xml:space="preserve"> a very open door policy and invite your feedback – </w:t>
            </w:r>
            <w:r>
              <w:rPr>
                <w:bCs/>
                <w:sz w:val="20"/>
                <w:szCs w:val="20"/>
              </w:rPr>
              <w:t xml:space="preserve">this will </w:t>
            </w:r>
            <w:r w:rsidRPr="00316409">
              <w:rPr>
                <w:bCs/>
                <w:sz w:val="20"/>
                <w:szCs w:val="20"/>
              </w:rPr>
              <w:t xml:space="preserve">open to campus in November with campus conversations.  This concept is outstanding as it utilizes existing resources.  </w:t>
            </w:r>
          </w:p>
          <w:p w:rsidR="006B2F3C" w:rsidRDefault="006B2F3C" w:rsidP="00B862E7">
            <w:pPr>
              <w:rPr>
                <w:bCs/>
                <w:sz w:val="20"/>
                <w:szCs w:val="20"/>
              </w:rPr>
            </w:pPr>
          </w:p>
          <w:p w:rsidR="006B2F3C" w:rsidRDefault="006B2F3C" w:rsidP="00B862E7">
            <w:pPr>
              <w:rPr>
                <w:bCs/>
                <w:sz w:val="20"/>
                <w:szCs w:val="20"/>
              </w:rPr>
            </w:pPr>
            <w:r w:rsidRPr="006B2F3C">
              <w:rPr>
                <w:b/>
                <w:bCs/>
                <w:color w:val="0000FF"/>
                <w:sz w:val="20"/>
                <w:szCs w:val="20"/>
              </w:rPr>
              <w:t>Q:</w:t>
            </w:r>
            <w:r>
              <w:rPr>
                <w:bCs/>
                <w:sz w:val="20"/>
                <w:szCs w:val="20"/>
              </w:rPr>
              <w:t xml:space="preserve">  I</w:t>
            </w:r>
            <w:r w:rsidRPr="00316409">
              <w:rPr>
                <w:bCs/>
                <w:sz w:val="20"/>
                <w:szCs w:val="20"/>
              </w:rPr>
              <w:t>s there a way to add regional comm</w:t>
            </w:r>
            <w:r>
              <w:rPr>
                <w:bCs/>
                <w:sz w:val="20"/>
                <w:szCs w:val="20"/>
              </w:rPr>
              <w:t xml:space="preserve">unities (FPAC does this)? </w:t>
            </w:r>
          </w:p>
          <w:p w:rsidR="006B2F3C" w:rsidRDefault="006B2F3C" w:rsidP="00B862E7">
            <w:pPr>
              <w:rPr>
                <w:bCs/>
                <w:sz w:val="20"/>
                <w:szCs w:val="20"/>
              </w:rPr>
            </w:pPr>
            <w:r>
              <w:rPr>
                <w:bCs/>
                <w:sz w:val="20"/>
                <w:szCs w:val="20"/>
              </w:rPr>
              <w:t xml:space="preserve"> </w:t>
            </w:r>
            <w:r w:rsidRPr="006B2F3C">
              <w:rPr>
                <w:b/>
                <w:bCs/>
                <w:color w:val="0000FF"/>
                <w:sz w:val="20"/>
                <w:szCs w:val="20"/>
              </w:rPr>
              <w:t>A:</w:t>
            </w:r>
            <w:r>
              <w:rPr>
                <w:bCs/>
                <w:sz w:val="20"/>
                <w:szCs w:val="20"/>
              </w:rPr>
              <w:t xml:space="preserve">  Yes.  That is a g</w:t>
            </w:r>
            <w:r w:rsidRPr="00316409">
              <w:rPr>
                <w:bCs/>
                <w:sz w:val="20"/>
                <w:szCs w:val="20"/>
              </w:rPr>
              <w:t xml:space="preserve">reat idea.  </w:t>
            </w:r>
          </w:p>
          <w:p w:rsidR="006B2F3C" w:rsidRDefault="006B2F3C" w:rsidP="00B862E7">
            <w:pPr>
              <w:rPr>
                <w:bCs/>
                <w:sz w:val="20"/>
                <w:szCs w:val="20"/>
              </w:rPr>
            </w:pPr>
          </w:p>
          <w:p w:rsidR="006B2F3C" w:rsidRDefault="006B2F3C" w:rsidP="00B862E7">
            <w:pPr>
              <w:rPr>
                <w:bCs/>
                <w:sz w:val="20"/>
                <w:szCs w:val="20"/>
              </w:rPr>
            </w:pPr>
            <w:r w:rsidRPr="006B2F3C">
              <w:rPr>
                <w:b/>
                <w:bCs/>
                <w:color w:val="0000FF"/>
                <w:sz w:val="20"/>
                <w:szCs w:val="20"/>
              </w:rPr>
              <w:t>Q:</w:t>
            </w:r>
            <w:r>
              <w:rPr>
                <w:bCs/>
                <w:sz w:val="20"/>
                <w:szCs w:val="20"/>
              </w:rPr>
              <w:t xml:space="preserve">  Do resources flow from QEP primarily?  </w:t>
            </w:r>
          </w:p>
          <w:p w:rsidR="006B2F3C" w:rsidRDefault="006B2F3C" w:rsidP="00B862E7">
            <w:pPr>
              <w:rPr>
                <w:bCs/>
                <w:sz w:val="20"/>
                <w:szCs w:val="20"/>
              </w:rPr>
            </w:pPr>
            <w:r w:rsidRPr="006B2F3C">
              <w:rPr>
                <w:b/>
                <w:bCs/>
                <w:color w:val="0000FF"/>
                <w:sz w:val="20"/>
                <w:szCs w:val="20"/>
              </w:rPr>
              <w:t>A:</w:t>
            </w:r>
            <w:r>
              <w:rPr>
                <w:bCs/>
                <w:sz w:val="20"/>
                <w:szCs w:val="20"/>
              </w:rPr>
              <w:t xml:space="preserve">  T</w:t>
            </w:r>
            <w:r w:rsidRPr="00316409">
              <w:rPr>
                <w:bCs/>
                <w:sz w:val="20"/>
                <w:szCs w:val="20"/>
              </w:rPr>
              <w:t xml:space="preserve">here is not </w:t>
            </w:r>
            <w:r>
              <w:rPr>
                <w:bCs/>
                <w:sz w:val="20"/>
                <w:szCs w:val="20"/>
              </w:rPr>
              <w:t>a funding source.  Traditionally Student Affairs</w:t>
            </w:r>
            <w:r w:rsidRPr="00316409">
              <w:rPr>
                <w:bCs/>
                <w:sz w:val="20"/>
                <w:szCs w:val="20"/>
              </w:rPr>
              <w:t xml:space="preserve"> has given $2000 to promote the award.  Carol has allocated some funds out of QEP to assist.  </w:t>
            </w:r>
          </w:p>
          <w:p w:rsidR="00254B6B" w:rsidRDefault="00254B6B" w:rsidP="00B862E7">
            <w:pPr>
              <w:rPr>
                <w:bCs/>
                <w:sz w:val="20"/>
                <w:szCs w:val="20"/>
              </w:rPr>
            </w:pPr>
          </w:p>
          <w:p w:rsidR="00254B6B" w:rsidRDefault="00254B6B" w:rsidP="00B862E7">
            <w:pPr>
              <w:rPr>
                <w:bCs/>
                <w:sz w:val="20"/>
                <w:szCs w:val="20"/>
              </w:rPr>
            </w:pPr>
            <w:r w:rsidRPr="00254B6B">
              <w:rPr>
                <w:b/>
                <w:bCs/>
                <w:color w:val="0000FF"/>
                <w:sz w:val="20"/>
                <w:szCs w:val="20"/>
              </w:rPr>
              <w:t>Q:</w:t>
            </w:r>
            <w:r>
              <w:rPr>
                <w:bCs/>
                <w:sz w:val="20"/>
                <w:szCs w:val="20"/>
              </w:rPr>
              <w:t xml:space="preserve">  Are these</w:t>
            </w:r>
            <w:r w:rsidRPr="00316409">
              <w:rPr>
                <w:bCs/>
                <w:sz w:val="20"/>
                <w:szCs w:val="20"/>
              </w:rPr>
              <w:t xml:space="preserve"> on camp</w:t>
            </w:r>
            <w:r>
              <w:rPr>
                <w:bCs/>
                <w:sz w:val="20"/>
                <w:szCs w:val="20"/>
              </w:rPr>
              <w:t>us?</w:t>
            </w:r>
            <w:r w:rsidRPr="00316409">
              <w:rPr>
                <w:bCs/>
                <w:sz w:val="20"/>
                <w:szCs w:val="20"/>
              </w:rPr>
              <w:t xml:space="preserve">  </w:t>
            </w:r>
          </w:p>
          <w:p w:rsidR="00254B6B" w:rsidRDefault="00254B6B" w:rsidP="00B862E7">
            <w:pPr>
              <w:rPr>
                <w:bCs/>
                <w:sz w:val="20"/>
                <w:szCs w:val="20"/>
              </w:rPr>
            </w:pPr>
            <w:r w:rsidRPr="00254B6B">
              <w:rPr>
                <w:b/>
                <w:bCs/>
                <w:color w:val="0000FF"/>
                <w:sz w:val="20"/>
                <w:szCs w:val="20"/>
              </w:rPr>
              <w:t>A</w:t>
            </w:r>
            <w:r w:rsidRPr="00316409">
              <w:rPr>
                <w:bCs/>
                <w:sz w:val="20"/>
                <w:szCs w:val="20"/>
              </w:rPr>
              <w:t>:</w:t>
            </w:r>
            <w:r>
              <w:rPr>
                <w:bCs/>
                <w:sz w:val="20"/>
                <w:szCs w:val="20"/>
              </w:rPr>
              <w:t xml:space="preserve">  Y</w:t>
            </w:r>
            <w:r w:rsidRPr="00316409">
              <w:rPr>
                <w:bCs/>
                <w:sz w:val="20"/>
                <w:szCs w:val="20"/>
              </w:rPr>
              <w:t xml:space="preserve">es, but they can go off campus.  </w:t>
            </w:r>
          </w:p>
          <w:p w:rsidR="005F755F" w:rsidRDefault="005F755F" w:rsidP="00B862E7">
            <w:pPr>
              <w:rPr>
                <w:bCs/>
                <w:sz w:val="20"/>
                <w:szCs w:val="20"/>
              </w:rPr>
            </w:pPr>
          </w:p>
          <w:p w:rsidR="005F755F" w:rsidRDefault="005F755F" w:rsidP="00B862E7">
            <w:pPr>
              <w:rPr>
                <w:bCs/>
                <w:sz w:val="20"/>
                <w:szCs w:val="20"/>
              </w:rPr>
            </w:pPr>
            <w:r w:rsidRPr="005F755F">
              <w:rPr>
                <w:b/>
                <w:bCs/>
                <w:color w:val="0000FF"/>
                <w:sz w:val="20"/>
                <w:szCs w:val="20"/>
              </w:rPr>
              <w:t>C:</w:t>
            </w:r>
            <w:r w:rsidRPr="00316409">
              <w:rPr>
                <w:bCs/>
                <w:sz w:val="20"/>
                <w:szCs w:val="20"/>
              </w:rPr>
              <w:t xml:space="preserve">  </w:t>
            </w:r>
            <w:r>
              <w:rPr>
                <w:bCs/>
                <w:sz w:val="20"/>
                <w:szCs w:val="20"/>
              </w:rPr>
              <w:t xml:space="preserve">There is concern </w:t>
            </w:r>
            <w:r w:rsidRPr="00316409">
              <w:rPr>
                <w:bCs/>
                <w:sz w:val="20"/>
                <w:szCs w:val="20"/>
              </w:rPr>
              <w:t>about existing programs and initiatives and would like to see this tied to current projects and student programs</w:t>
            </w:r>
            <w:r>
              <w:rPr>
                <w:bCs/>
                <w:sz w:val="20"/>
                <w:szCs w:val="20"/>
              </w:rPr>
              <w:t>.</w:t>
            </w:r>
          </w:p>
          <w:p w:rsidR="005F755F" w:rsidRDefault="005F755F" w:rsidP="00B862E7">
            <w:pPr>
              <w:rPr>
                <w:bCs/>
                <w:sz w:val="20"/>
                <w:szCs w:val="20"/>
              </w:rPr>
            </w:pPr>
          </w:p>
          <w:p w:rsidR="005F755F" w:rsidRDefault="005F755F" w:rsidP="00B862E7">
            <w:pPr>
              <w:rPr>
                <w:bCs/>
                <w:sz w:val="20"/>
                <w:szCs w:val="20"/>
              </w:rPr>
            </w:pPr>
            <w:r w:rsidRPr="005F755F">
              <w:rPr>
                <w:b/>
                <w:bCs/>
                <w:color w:val="0000FF"/>
                <w:sz w:val="20"/>
                <w:szCs w:val="20"/>
              </w:rPr>
              <w:t>Q:</w:t>
            </w:r>
            <w:r>
              <w:rPr>
                <w:bCs/>
                <w:sz w:val="20"/>
                <w:szCs w:val="20"/>
              </w:rPr>
              <w:t xml:space="preserve">  W</w:t>
            </w:r>
            <w:r w:rsidRPr="00316409">
              <w:rPr>
                <w:bCs/>
                <w:sz w:val="20"/>
                <w:szCs w:val="20"/>
              </w:rPr>
              <w:t xml:space="preserve">ho would want to get involved and what is the genesis, deliverables, </w:t>
            </w:r>
            <w:proofErr w:type="gramStart"/>
            <w:r w:rsidRPr="00316409">
              <w:rPr>
                <w:bCs/>
                <w:sz w:val="20"/>
                <w:szCs w:val="20"/>
              </w:rPr>
              <w:t>outcomes</w:t>
            </w:r>
            <w:proofErr w:type="gramEnd"/>
            <w:r w:rsidRPr="00316409">
              <w:rPr>
                <w:bCs/>
                <w:sz w:val="20"/>
                <w:szCs w:val="20"/>
              </w:rPr>
              <w:t xml:space="preserve">?  </w:t>
            </w:r>
          </w:p>
          <w:p w:rsidR="005F755F" w:rsidRDefault="005F755F" w:rsidP="00B862E7">
            <w:pPr>
              <w:rPr>
                <w:bCs/>
                <w:sz w:val="20"/>
                <w:szCs w:val="20"/>
              </w:rPr>
            </w:pPr>
            <w:r w:rsidRPr="005F755F">
              <w:rPr>
                <w:b/>
                <w:bCs/>
                <w:color w:val="0000FF"/>
                <w:sz w:val="20"/>
                <w:szCs w:val="20"/>
              </w:rPr>
              <w:t>A:</w:t>
            </w:r>
            <w:r w:rsidRPr="00316409">
              <w:rPr>
                <w:bCs/>
                <w:sz w:val="20"/>
                <w:szCs w:val="20"/>
              </w:rPr>
              <w:t xml:space="preserve">  Glenda gave an example of a class that has a leadership focus – this cohort brought</w:t>
            </w:r>
            <w:r>
              <w:rPr>
                <w:bCs/>
                <w:sz w:val="20"/>
                <w:szCs w:val="20"/>
              </w:rPr>
              <w:t xml:space="preserve"> in law and political science.  T</w:t>
            </w:r>
            <w:r w:rsidRPr="00316409">
              <w:rPr>
                <w:bCs/>
                <w:sz w:val="20"/>
                <w:szCs w:val="20"/>
              </w:rPr>
              <w:t xml:space="preserve">hose </w:t>
            </w:r>
            <w:proofErr w:type="gramStart"/>
            <w:r w:rsidRPr="00316409">
              <w:rPr>
                <w:bCs/>
                <w:sz w:val="20"/>
                <w:szCs w:val="20"/>
              </w:rPr>
              <w:t>freshman</w:t>
            </w:r>
            <w:proofErr w:type="gramEnd"/>
            <w:r w:rsidRPr="00316409">
              <w:rPr>
                <w:bCs/>
                <w:sz w:val="20"/>
                <w:szCs w:val="20"/>
              </w:rPr>
              <w:t xml:space="preserve"> now meet each oth</w:t>
            </w:r>
            <w:r>
              <w:rPr>
                <w:bCs/>
                <w:sz w:val="20"/>
                <w:szCs w:val="20"/>
              </w:rPr>
              <w:t xml:space="preserve">er </w:t>
            </w:r>
            <w:r w:rsidR="008C5F15">
              <w:rPr>
                <w:bCs/>
                <w:sz w:val="20"/>
                <w:szCs w:val="20"/>
              </w:rPr>
              <w:t xml:space="preserve">in </w:t>
            </w:r>
            <w:r>
              <w:rPr>
                <w:bCs/>
                <w:sz w:val="20"/>
                <w:szCs w:val="20"/>
              </w:rPr>
              <w:t>three differen</w:t>
            </w:r>
            <w:r w:rsidR="008C5F15">
              <w:rPr>
                <w:bCs/>
                <w:sz w:val="20"/>
                <w:szCs w:val="20"/>
              </w:rPr>
              <w:t>t</w:t>
            </w:r>
            <w:r>
              <w:rPr>
                <w:bCs/>
                <w:sz w:val="20"/>
                <w:szCs w:val="20"/>
              </w:rPr>
              <w:t xml:space="preserve"> classes and</w:t>
            </w:r>
            <w:r w:rsidRPr="00316409">
              <w:rPr>
                <w:bCs/>
                <w:sz w:val="20"/>
                <w:szCs w:val="20"/>
              </w:rPr>
              <w:t xml:space="preserve"> have an immediate community of peers they feel comfortable with.  Their conversations will hopefully get richer and deeper.  This </w:t>
            </w:r>
            <w:r w:rsidRPr="00316409">
              <w:rPr>
                <w:bCs/>
                <w:sz w:val="20"/>
                <w:szCs w:val="20"/>
              </w:rPr>
              <w:lastRenderedPageBreak/>
              <w:t>is primarily happening through classes.</w:t>
            </w:r>
          </w:p>
          <w:p w:rsidR="00C82755" w:rsidRDefault="00C82755" w:rsidP="00B862E7">
            <w:pPr>
              <w:rPr>
                <w:bCs/>
                <w:sz w:val="20"/>
                <w:szCs w:val="20"/>
              </w:rPr>
            </w:pPr>
          </w:p>
          <w:p w:rsidR="00C82755" w:rsidRDefault="00C82755" w:rsidP="00B862E7">
            <w:pPr>
              <w:rPr>
                <w:bCs/>
                <w:sz w:val="20"/>
                <w:szCs w:val="20"/>
              </w:rPr>
            </w:pPr>
            <w:r w:rsidRPr="00316409">
              <w:rPr>
                <w:bCs/>
                <w:sz w:val="20"/>
                <w:szCs w:val="20"/>
              </w:rPr>
              <w:t>Wendy said it would be helpful to know the PEAKS course</w:t>
            </w:r>
            <w:r>
              <w:rPr>
                <w:bCs/>
                <w:sz w:val="20"/>
                <w:szCs w:val="20"/>
              </w:rPr>
              <w:t>s</w:t>
            </w:r>
            <w:r w:rsidRPr="00316409">
              <w:rPr>
                <w:bCs/>
                <w:sz w:val="20"/>
                <w:szCs w:val="20"/>
              </w:rPr>
              <w:t>, etc</w:t>
            </w:r>
            <w:r>
              <w:rPr>
                <w:bCs/>
                <w:sz w:val="20"/>
                <w:szCs w:val="20"/>
              </w:rPr>
              <w:t xml:space="preserve">.  </w:t>
            </w:r>
            <w:r w:rsidRPr="00316409">
              <w:rPr>
                <w:bCs/>
                <w:sz w:val="20"/>
                <w:szCs w:val="20"/>
              </w:rPr>
              <w:t xml:space="preserve">Glenda will send </w:t>
            </w:r>
            <w:r>
              <w:rPr>
                <w:bCs/>
                <w:sz w:val="20"/>
                <w:szCs w:val="20"/>
              </w:rPr>
              <w:t xml:space="preserve">this information </w:t>
            </w:r>
            <w:r w:rsidRPr="00316409">
              <w:rPr>
                <w:bCs/>
                <w:sz w:val="20"/>
                <w:szCs w:val="20"/>
              </w:rPr>
              <w:t xml:space="preserve">out to the deans.  </w:t>
            </w:r>
          </w:p>
          <w:p w:rsidR="00C15B2A" w:rsidRDefault="00C15B2A" w:rsidP="00B862E7">
            <w:pPr>
              <w:rPr>
                <w:bCs/>
                <w:sz w:val="20"/>
                <w:szCs w:val="20"/>
              </w:rPr>
            </w:pPr>
          </w:p>
          <w:p w:rsidR="00C15B2A" w:rsidRDefault="00C15B2A" w:rsidP="00B862E7">
            <w:pPr>
              <w:rPr>
                <w:bCs/>
                <w:sz w:val="20"/>
                <w:szCs w:val="20"/>
              </w:rPr>
            </w:pPr>
            <w:r w:rsidRPr="00C15B2A">
              <w:rPr>
                <w:b/>
                <w:bCs/>
                <w:color w:val="0000FF"/>
                <w:sz w:val="20"/>
                <w:szCs w:val="20"/>
              </w:rPr>
              <w:t>Q:</w:t>
            </w:r>
            <w:r>
              <w:rPr>
                <w:bCs/>
                <w:sz w:val="20"/>
                <w:szCs w:val="20"/>
              </w:rPr>
              <w:t xml:space="preserve">  I</w:t>
            </w:r>
            <w:r w:rsidRPr="00316409">
              <w:rPr>
                <w:bCs/>
                <w:sz w:val="20"/>
                <w:szCs w:val="20"/>
              </w:rPr>
              <w:t>s there a way to implement this</w:t>
            </w:r>
            <w:r>
              <w:rPr>
                <w:bCs/>
                <w:sz w:val="20"/>
                <w:szCs w:val="20"/>
              </w:rPr>
              <w:t xml:space="preserve"> into graduate education?  </w:t>
            </w:r>
          </w:p>
          <w:p w:rsidR="00C15B2A" w:rsidRDefault="00C15B2A" w:rsidP="00B862E7">
            <w:pPr>
              <w:rPr>
                <w:bCs/>
                <w:sz w:val="20"/>
                <w:szCs w:val="20"/>
              </w:rPr>
            </w:pPr>
            <w:r w:rsidRPr="00C15B2A">
              <w:rPr>
                <w:b/>
                <w:bCs/>
                <w:color w:val="0000FF"/>
                <w:sz w:val="20"/>
                <w:szCs w:val="20"/>
              </w:rPr>
              <w:t>A:</w:t>
            </w:r>
            <w:r>
              <w:rPr>
                <w:bCs/>
                <w:sz w:val="20"/>
                <w:szCs w:val="20"/>
              </w:rPr>
              <w:t xml:space="preserve">  T</w:t>
            </w:r>
            <w:r w:rsidRPr="00316409">
              <w:rPr>
                <w:bCs/>
                <w:sz w:val="20"/>
                <w:szCs w:val="20"/>
              </w:rPr>
              <w:t>here is no limit to age group, just that freshman are Glenda’s particular focus.</w:t>
            </w:r>
          </w:p>
          <w:p w:rsidR="00FF2A50" w:rsidRPr="00B862E7" w:rsidRDefault="00FF2A50" w:rsidP="00B862E7">
            <w:pPr>
              <w:rPr>
                <w:bCs/>
                <w:sz w:val="20"/>
                <w:szCs w:val="20"/>
              </w:rPr>
            </w:pPr>
          </w:p>
        </w:tc>
      </w:tr>
      <w:tr w:rsidR="006B218F" w:rsidTr="009B07D5">
        <w:tc>
          <w:tcPr>
            <w:tcW w:w="2088" w:type="dxa"/>
          </w:tcPr>
          <w:p w:rsidR="00EC6DB9" w:rsidRPr="0031127C" w:rsidRDefault="00FF2A50" w:rsidP="0031127C">
            <w:pPr>
              <w:rPr>
                <w:b/>
                <w:color w:val="0000FF"/>
                <w:sz w:val="20"/>
                <w:szCs w:val="20"/>
              </w:rPr>
            </w:pPr>
            <w:r>
              <w:rPr>
                <w:b/>
                <w:color w:val="0000FF"/>
                <w:sz w:val="20"/>
                <w:szCs w:val="20"/>
              </w:rPr>
              <w:lastRenderedPageBreak/>
              <w:t>Performance Funding Model (Linda)</w:t>
            </w:r>
          </w:p>
        </w:tc>
        <w:tc>
          <w:tcPr>
            <w:tcW w:w="6768" w:type="dxa"/>
          </w:tcPr>
          <w:p w:rsidR="00222A81" w:rsidRDefault="00111431" w:rsidP="00330BEF">
            <w:pPr>
              <w:pStyle w:val="ListParagraph"/>
              <w:tabs>
                <w:tab w:val="right" w:pos="480"/>
                <w:tab w:val="left" w:leader="dot" w:pos="7380"/>
                <w:tab w:val="left" w:pos="7560"/>
              </w:tabs>
              <w:ind w:left="0"/>
              <w:rPr>
                <w:bCs/>
                <w:sz w:val="20"/>
                <w:szCs w:val="20"/>
              </w:rPr>
            </w:pPr>
            <w:r>
              <w:rPr>
                <w:bCs/>
                <w:sz w:val="20"/>
                <w:szCs w:val="20"/>
              </w:rPr>
              <w:t xml:space="preserve">COD have reviewed the last draft available.  Enrollment projections have to reflect performance – it is built into some of our assumptions.  Are there other issues or comments?  CAO will discuss this at the next meeting.  </w:t>
            </w:r>
          </w:p>
          <w:p w:rsidR="00397179" w:rsidRDefault="00397179" w:rsidP="00330BEF">
            <w:pPr>
              <w:pStyle w:val="ListParagraph"/>
              <w:tabs>
                <w:tab w:val="right" w:pos="480"/>
                <w:tab w:val="left" w:leader="dot" w:pos="7380"/>
                <w:tab w:val="left" w:pos="7560"/>
              </w:tabs>
              <w:ind w:left="0"/>
              <w:rPr>
                <w:bCs/>
                <w:sz w:val="20"/>
                <w:szCs w:val="20"/>
              </w:rPr>
            </w:pPr>
          </w:p>
          <w:p w:rsidR="00397179" w:rsidRDefault="00397179" w:rsidP="00330BEF">
            <w:pPr>
              <w:pStyle w:val="ListParagraph"/>
              <w:tabs>
                <w:tab w:val="right" w:pos="480"/>
                <w:tab w:val="left" w:leader="dot" w:pos="7380"/>
                <w:tab w:val="left" w:pos="7560"/>
              </w:tabs>
              <w:ind w:left="0"/>
              <w:rPr>
                <w:bCs/>
                <w:sz w:val="20"/>
                <w:szCs w:val="20"/>
              </w:rPr>
            </w:pPr>
            <w:r>
              <w:rPr>
                <w:bCs/>
                <w:sz w:val="20"/>
                <w:szCs w:val="20"/>
              </w:rPr>
              <w:t>Last week Melissa received instructions with a deadline of Nov 1.  There are some relevant points – like restrictions on enrollment.  Discussion ensued.</w:t>
            </w:r>
          </w:p>
          <w:p w:rsidR="00446EF3" w:rsidRDefault="00446EF3" w:rsidP="00330BEF">
            <w:pPr>
              <w:pStyle w:val="ListParagraph"/>
              <w:tabs>
                <w:tab w:val="right" w:pos="480"/>
                <w:tab w:val="left" w:leader="dot" w:pos="7380"/>
                <w:tab w:val="left" w:pos="7560"/>
              </w:tabs>
              <w:ind w:left="0"/>
              <w:rPr>
                <w:bCs/>
                <w:sz w:val="20"/>
                <w:szCs w:val="20"/>
              </w:rPr>
            </w:pPr>
          </w:p>
          <w:p w:rsidR="00446EF3" w:rsidRDefault="00446EF3" w:rsidP="00330BEF">
            <w:pPr>
              <w:pStyle w:val="ListParagraph"/>
              <w:tabs>
                <w:tab w:val="right" w:pos="480"/>
                <w:tab w:val="left" w:leader="dot" w:pos="7380"/>
                <w:tab w:val="left" w:pos="7560"/>
              </w:tabs>
              <w:ind w:left="0"/>
              <w:rPr>
                <w:bCs/>
                <w:sz w:val="20"/>
                <w:szCs w:val="20"/>
              </w:rPr>
            </w:pPr>
            <w:r>
              <w:rPr>
                <w:bCs/>
                <w:sz w:val="20"/>
                <w:szCs w:val="20"/>
              </w:rPr>
              <w:t xml:space="preserve">We have to meet or exceed the averages in retention and graduation of our peer groups. Right now we are still using the same interface, no accounting for how we are to report data this year.  Degree production applies primarily to undergraduate degrees.  Alan </w:t>
            </w:r>
            <w:proofErr w:type="spellStart"/>
            <w:r>
              <w:rPr>
                <w:bCs/>
                <w:sz w:val="20"/>
                <w:szCs w:val="20"/>
              </w:rPr>
              <w:t>Mabe</w:t>
            </w:r>
            <w:proofErr w:type="spellEnd"/>
            <w:r>
              <w:rPr>
                <w:bCs/>
                <w:sz w:val="20"/>
                <w:szCs w:val="20"/>
              </w:rPr>
              <w:t xml:space="preserve"> is supporting this through President Bowles.  Individuals are okay with the concept but are challenged with the implementation process.  </w:t>
            </w:r>
            <w:r w:rsidR="005E5A79">
              <w:rPr>
                <w:bCs/>
                <w:sz w:val="20"/>
                <w:szCs w:val="20"/>
              </w:rPr>
              <w:t>Peer institutions are to be up for review in the Fall of 2011.</w:t>
            </w:r>
          </w:p>
          <w:p w:rsidR="005E5A79" w:rsidRPr="008C7649" w:rsidRDefault="005E5A79" w:rsidP="00330BEF">
            <w:pPr>
              <w:pStyle w:val="ListParagraph"/>
              <w:tabs>
                <w:tab w:val="right" w:pos="480"/>
                <w:tab w:val="left" w:leader="dot" w:pos="7380"/>
                <w:tab w:val="left" w:pos="7560"/>
              </w:tabs>
              <w:ind w:left="0"/>
              <w:rPr>
                <w:sz w:val="20"/>
                <w:szCs w:val="20"/>
              </w:rPr>
            </w:pPr>
          </w:p>
        </w:tc>
      </w:tr>
      <w:tr w:rsidR="005E5A79" w:rsidTr="009B07D5">
        <w:tc>
          <w:tcPr>
            <w:tcW w:w="2088" w:type="dxa"/>
          </w:tcPr>
          <w:p w:rsidR="005E5A79" w:rsidRPr="005E5A79" w:rsidRDefault="005E5A79" w:rsidP="005E5A79">
            <w:pPr>
              <w:jc w:val="right"/>
              <w:rPr>
                <w:b/>
                <w:i/>
                <w:color w:val="0000FF"/>
                <w:sz w:val="20"/>
                <w:szCs w:val="20"/>
              </w:rPr>
            </w:pPr>
            <w:r>
              <w:rPr>
                <w:b/>
                <w:i/>
                <w:color w:val="0000FF"/>
                <w:sz w:val="20"/>
                <w:szCs w:val="20"/>
              </w:rPr>
              <w:t>Action Item</w:t>
            </w:r>
          </w:p>
        </w:tc>
        <w:tc>
          <w:tcPr>
            <w:tcW w:w="6768" w:type="dxa"/>
          </w:tcPr>
          <w:p w:rsidR="005E5A79" w:rsidRDefault="005E5A79" w:rsidP="00330BEF">
            <w:pPr>
              <w:pStyle w:val="ListParagraph"/>
              <w:tabs>
                <w:tab w:val="right" w:pos="480"/>
                <w:tab w:val="left" w:leader="dot" w:pos="7380"/>
                <w:tab w:val="left" w:pos="7560"/>
              </w:tabs>
              <w:ind w:left="0"/>
              <w:rPr>
                <w:bCs/>
                <w:sz w:val="20"/>
                <w:szCs w:val="20"/>
              </w:rPr>
            </w:pPr>
            <w:r>
              <w:rPr>
                <w:bCs/>
                <w:sz w:val="20"/>
                <w:szCs w:val="20"/>
              </w:rPr>
              <w:t xml:space="preserve">If you have specific questions or input, send forward to Anne by October 25.  Melissa will verify that our aspirant institutions are included in our peer institutions.  </w:t>
            </w:r>
          </w:p>
          <w:p w:rsidR="005E5A79" w:rsidRDefault="005E5A79" w:rsidP="00330BEF">
            <w:pPr>
              <w:pStyle w:val="ListParagraph"/>
              <w:tabs>
                <w:tab w:val="right" w:pos="480"/>
                <w:tab w:val="left" w:leader="dot" w:pos="7380"/>
                <w:tab w:val="left" w:pos="7560"/>
              </w:tabs>
              <w:ind w:left="0"/>
              <w:rPr>
                <w:bCs/>
                <w:sz w:val="20"/>
                <w:szCs w:val="20"/>
              </w:rPr>
            </w:pPr>
          </w:p>
        </w:tc>
      </w:tr>
      <w:tr w:rsidR="00EC6DB9" w:rsidTr="009B07D5">
        <w:tc>
          <w:tcPr>
            <w:tcW w:w="2088" w:type="dxa"/>
          </w:tcPr>
          <w:p w:rsidR="00EC6DB9" w:rsidRDefault="00FF2A50" w:rsidP="0031127C">
            <w:pPr>
              <w:rPr>
                <w:b/>
                <w:color w:val="0000FF"/>
                <w:sz w:val="20"/>
                <w:szCs w:val="20"/>
              </w:rPr>
            </w:pPr>
            <w:r>
              <w:rPr>
                <w:b/>
                <w:color w:val="0000FF"/>
                <w:sz w:val="20"/>
                <w:szCs w:val="20"/>
              </w:rPr>
              <w:t>Membership of Graduate Faculty (Scott)</w:t>
            </w:r>
          </w:p>
          <w:p w:rsidR="00DF00D2" w:rsidRDefault="00DF00D2" w:rsidP="0031127C">
            <w:pPr>
              <w:rPr>
                <w:b/>
                <w:color w:val="0000FF"/>
                <w:sz w:val="20"/>
                <w:szCs w:val="20"/>
              </w:rPr>
            </w:pPr>
          </w:p>
        </w:tc>
        <w:tc>
          <w:tcPr>
            <w:tcW w:w="6768" w:type="dxa"/>
          </w:tcPr>
          <w:p w:rsidR="006E0E09" w:rsidRDefault="00922ABD" w:rsidP="00330BEF">
            <w:pPr>
              <w:pStyle w:val="ListParagraph"/>
              <w:tabs>
                <w:tab w:val="right" w:pos="480"/>
                <w:tab w:val="left" w:leader="dot" w:pos="7380"/>
                <w:tab w:val="left" w:pos="7560"/>
              </w:tabs>
              <w:ind w:left="0"/>
              <w:rPr>
                <w:bCs/>
                <w:sz w:val="20"/>
                <w:szCs w:val="20"/>
              </w:rPr>
            </w:pPr>
            <w:r>
              <w:rPr>
                <w:bCs/>
                <w:sz w:val="20"/>
                <w:szCs w:val="20"/>
              </w:rPr>
              <w:t xml:space="preserve">Scott reviewed the document with COD - changes were not significant.  Under appointment to graduate status A – this is what we are trying to get to - faculty would be qualified not only in degree and discipline, but they would be the ones teaching the courses; membership differences had to do with number of years faculty had to present information prior to being assigned to this category and how many years after appointment will they be reviewed; discussion about chairing dissertations and chairing thesis committees; under full membership some minor changes and clarification.  The process is included in the document.  Discussion ensued.  </w:t>
            </w:r>
          </w:p>
          <w:p w:rsidR="00922ABD" w:rsidRDefault="00922ABD" w:rsidP="00330BEF">
            <w:pPr>
              <w:pStyle w:val="ListParagraph"/>
              <w:tabs>
                <w:tab w:val="right" w:pos="480"/>
                <w:tab w:val="left" w:leader="dot" w:pos="7380"/>
                <w:tab w:val="left" w:pos="7560"/>
              </w:tabs>
              <w:ind w:left="0"/>
              <w:rPr>
                <w:bCs/>
                <w:sz w:val="20"/>
                <w:szCs w:val="20"/>
              </w:rPr>
            </w:pPr>
          </w:p>
          <w:p w:rsidR="00922ABD" w:rsidRDefault="00B323D5" w:rsidP="00330BEF">
            <w:pPr>
              <w:pStyle w:val="ListParagraph"/>
              <w:tabs>
                <w:tab w:val="right" w:pos="480"/>
                <w:tab w:val="left" w:leader="dot" w:pos="7380"/>
                <w:tab w:val="left" w:pos="7560"/>
              </w:tabs>
              <w:ind w:left="0"/>
              <w:rPr>
                <w:bCs/>
                <w:sz w:val="20"/>
                <w:szCs w:val="20"/>
              </w:rPr>
            </w:pPr>
            <w:r>
              <w:rPr>
                <w:bCs/>
                <w:sz w:val="20"/>
                <w:szCs w:val="20"/>
              </w:rPr>
              <w:t xml:space="preserve">Suggested language changes and clarifications were made.  Deans asked to insert a mechanism for a dean to petition to Scott for a faculty member special case, and then Scott would take it forward to the committee.  Wendy questioned status for thesis committee.  Discussion ensued.  </w:t>
            </w:r>
          </w:p>
          <w:p w:rsidR="00CE52AF" w:rsidRDefault="00CE52AF" w:rsidP="00330BEF">
            <w:pPr>
              <w:pStyle w:val="ListParagraph"/>
              <w:tabs>
                <w:tab w:val="right" w:pos="480"/>
                <w:tab w:val="left" w:leader="dot" w:pos="7380"/>
                <w:tab w:val="left" w:pos="7560"/>
              </w:tabs>
              <w:ind w:left="0"/>
              <w:rPr>
                <w:bCs/>
                <w:sz w:val="20"/>
                <w:szCs w:val="20"/>
              </w:rPr>
            </w:pPr>
          </w:p>
          <w:p w:rsidR="00CE52AF" w:rsidRDefault="00CE52AF" w:rsidP="00330BEF">
            <w:pPr>
              <w:pStyle w:val="ListParagraph"/>
              <w:tabs>
                <w:tab w:val="right" w:pos="480"/>
                <w:tab w:val="left" w:leader="dot" w:pos="7380"/>
                <w:tab w:val="left" w:pos="7560"/>
              </w:tabs>
              <w:ind w:left="0"/>
              <w:rPr>
                <w:bCs/>
                <w:sz w:val="20"/>
                <w:szCs w:val="20"/>
              </w:rPr>
            </w:pPr>
            <w:r>
              <w:rPr>
                <w:bCs/>
                <w:sz w:val="20"/>
                <w:szCs w:val="20"/>
              </w:rPr>
              <w:t xml:space="preserve">Wendy also raised concerns about the post-tenure review process, specifically the lack of review by the dean.  Beth clarified that the latest 4.0 says deans do review – current AA 12 has a spot for dean signature and Faculty Senate is not pleased.  BOG policy does not require this to go to the dean – WCU proposed it go to the dean.  Faculty Senate approved it and now it is being questioned.  Beth is meeting with the Collegial Review Council later this week to clarify.  </w:t>
            </w:r>
          </w:p>
          <w:p w:rsidR="007C0E2F" w:rsidRDefault="007C0E2F" w:rsidP="00330BEF">
            <w:pPr>
              <w:pStyle w:val="ListParagraph"/>
              <w:tabs>
                <w:tab w:val="right" w:pos="480"/>
                <w:tab w:val="left" w:leader="dot" w:pos="7380"/>
                <w:tab w:val="left" w:pos="7560"/>
              </w:tabs>
              <w:ind w:left="0"/>
              <w:rPr>
                <w:bCs/>
                <w:sz w:val="20"/>
                <w:szCs w:val="20"/>
              </w:rPr>
            </w:pPr>
          </w:p>
          <w:p w:rsidR="007C0E2F" w:rsidRDefault="007C0E2F" w:rsidP="00330BEF">
            <w:pPr>
              <w:pStyle w:val="ListParagraph"/>
              <w:tabs>
                <w:tab w:val="right" w:pos="480"/>
                <w:tab w:val="left" w:leader="dot" w:pos="7380"/>
                <w:tab w:val="left" w:pos="7560"/>
              </w:tabs>
              <w:ind w:left="0"/>
              <w:rPr>
                <w:bCs/>
                <w:sz w:val="20"/>
                <w:szCs w:val="20"/>
              </w:rPr>
            </w:pPr>
            <w:r>
              <w:rPr>
                <w:bCs/>
                <w:sz w:val="20"/>
                <w:szCs w:val="20"/>
              </w:rPr>
              <w:t xml:space="preserve">Scott clarified the changes:  </w:t>
            </w:r>
          </w:p>
          <w:p w:rsidR="007C0E2F" w:rsidRDefault="007C0E2F" w:rsidP="00330BEF">
            <w:pPr>
              <w:pStyle w:val="ListParagraph"/>
              <w:tabs>
                <w:tab w:val="right" w:pos="480"/>
                <w:tab w:val="left" w:leader="dot" w:pos="7380"/>
                <w:tab w:val="left" w:pos="7560"/>
              </w:tabs>
              <w:ind w:left="0"/>
              <w:rPr>
                <w:bCs/>
                <w:sz w:val="20"/>
                <w:szCs w:val="20"/>
              </w:rPr>
            </w:pPr>
            <w:r>
              <w:rPr>
                <w:bCs/>
                <w:sz w:val="20"/>
                <w:szCs w:val="20"/>
              </w:rPr>
              <w:t>1)  add exception clause to allow graduate committee authority to override an eligible requirement in exceptional cases;</w:t>
            </w:r>
          </w:p>
          <w:p w:rsidR="007C0E2F" w:rsidRDefault="007C0E2F" w:rsidP="00330BEF">
            <w:pPr>
              <w:pStyle w:val="ListParagraph"/>
              <w:tabs>
                <w:tab w:val="right" w:pos="480"/>
                <w:tab w:val="left" w:leader="dot" w:pos="7380"/>
                <w:tab w:val="left" w:pos="7560"/>
              </w:tabs>
              <w:ind w:left="0"/>
              <w:rPr>
                <w:bCs/>
                <w:sz w:val="20"/>
                <w:szCs w:val="20"/>
              </w:rPr>
            </w:pPr>
            <w:r>
              <w:rPr>
                <w:bCs/>
                <w:sz w:val="20"/>
                <w:szCs w:val="20"/>
              </w:rPr>
              <w:t xml:space="preserve"> 2) add under 7 and for both full and regular – all rights and privileges of associate applies ;</w:t>
            </w:r>
          </w:p>
          <w:p w:rsidR="007C0E2F" w:rsidRDefault="007C0E2F" w:rsidP="00330BEF">
            <w:pPr>
              <w:pStyle w:val="ListParagraph"/>
              <w:tabs>
                <w:tab w:val="right" w:pos="480"/>
                <w:tab w:val="left" w:leader="dot" w:pos="7380"/>
                <w:tab w:val="left" w:pos="7560"/>
              </w:tabs>
              <w:ind w:left="0"/>
              <w:rPr>
                <w:bCs/>
                <w:sz w:val="20"/>
                <w:szCs w:val="20"/>
              </w:rPr>
            </w:pPr>
            <w:r>
              <w:rPr>
                <w:bCs/>
                <w:sz w:val="20"/>
                <w:szCs w:val="20"/>
              </w:rPr>
              <w:t xml:space="preserve"> 3) on page 3 under 2 add a “d – all other cases refer to 1.c.1;</w:t>
            </w:r>
          </w:p>
          <w:p w:rsidR="007C0E2F" w:rsidRDefault="007C0E2F" w:rsidP="00330BEF">
            <w:pPr>
              <w:pStyle w:val="ListParagraph"/>
              <w:tabs>
                <w:tab w:val="right" w:pos="480"/>
                <w:tab w:val="left" w:leader="dot" w:pos="7380"/>
                <w:tab w:val="left" w:pos="7560"/>
              </w:tabs>
              <w:ind w:left="0"/>
              <w:rPr>
                <w:bCs/>
                <w:sz w:val="20"/>
                <w:szCs w:val="20"/>
              </w:rPr>
            </w:pPr>
            <w:r>
              <w:rPr>
                <w:bCs/>
                <w:sz w:val="20"/>
                <w:szCs w:val="20"/>
              </w:rPr>
              <w:t xml:space="preserve">4)  </w:t>
            </w:r>
            <w:proofErr w:type="gramStart"/>
            <w:r>
              <w:rPr>
                <w:bCs/>
                <w:sz w:val="20"/>
                <w:szCs w:val="20"/>
              </w:rPr>
              <w:t>adding</w:t>
            </w:r>
            <w:proofErr w:type="gramEnd"/>
            <w:r>
              <w:rPr>
                <w:bCs/>
                <w:sz w:val="20"/>
                <w:szCs w:val="20"/>
              </w:rPr>
              <w:t xml:space="preserve"> provision for review outside the regular dossier review.  </w:t>
            </w:r>
          </w:p>
          <w:p w:rsidR="009A5507" w:rsidRDefault="009A5507" w:rsidP="00330BEF">
            <w:pPr>
              <w:pStyle w:val="ListParagraph"/>
              <w:tabs>
                <w:tab w:val="right" w:pos="480"/>
                <w:tab w:val="left" w:leader="dot" w:pos="7380"/>
                <w:tab w:val="left" w:pos="7560"/>
              </w:tabs>
              <w:ind w:left="0"/>
              <w:rPr>
                <w:bCs/>
                <w:sz w:val="20"/>
                <w:szCs w:val="20"/>
              </w:rPr>
            </w:pPr>
          </w:p>
          <w:p w:rsidR="007C0E2F" w:rsidRDefault="009A5507" w:rsidP="009A5507">
            <w:pPr>
              <w:pStyle w:val="ListParagraph"/>
              <w:tabs>
                <w:tab w:val="right" w:pos="480"/>
                <w:tab w:val="left" w:leader="dot" w:pos="7380"/>
                <w:tab w:val="left" w:pos="7560"/>
              </w:tabs>
              <w:ind w:left="0"/>
              <w:rPr>
                <w:bCs/>
                <w:sz w:val="20"/>
                <w:szCs w:val="20"/>
              </w:rPr>
            </w:pPr>
            <w:r>
              <w:rPr>
                <w:bCs/>
                <w:sz w:val="20"/>
                <w:szCs w:val="20"/>
              </w:rPr>
              <w:t xml:space="preserve">We could take the AA12 process out of this and just ask the graduate school to submit a list to the colleges – problem was not getting dean ultimate approval on this.  We could add something to the section on exceptions.  It was suggested tagging this along with the AFE process.  Discussion ensued.  </w:t>
            </w:r>
          </w:p>
          <w:p w:rsidR="009A5507" w:rsidRDefault="009A5507" w:rsidP="009A5507">
            <w:pPr>
              <w:pStyle w:val="ListParagraph"/>
              <w:tabs>
                <w:tab w:val="right" w:pos="480"/>
                <w:tab w:val="left" w:leader="dot" w:pos="7380"/>
                <w:tab w:val="left" w:pos="7560"/>
              </w:tabs>
              <w:ind w:left="0"/>
              <w:rPr>
                <w:bCs/>
                <w:sz w:val="20"/>
                <w:szCs w:val="20"/>
              </w:rPr>
            </w:pPr>
          </w:p>
        </w:tc>
      </w:tr>
      <w:tr w:rsidR="009A5507" w:rsidTr="009B07D5">
        <w:tc>
          <w:tcPr>
            <w:tcW w:w="2088" w:type="dxa"/>
          </w:tcPr>
          <w:p w:rsidR="009A5507" w:rsidRPr="009A5507" w:rsidRDefault="009A5507" w:rsidP="009A5507">
            <w:pPr>
              <w:jc w:val="right"/>
              <w:rPr>
                <w:b/>
                <w:i/>
                <w:color w:val="0000FF"/>
                <w:sz w:val="20"/>
                <w:szCs w:val="20"/>
              </w:rPr>
            </w:pPr>
            <w:r>
              <w:rPr>
                <w:b/>
                <w:i/>
                <w:color w:val="0000FF"/>
                <w:sz w:val="20"/>
                <w:szCs w:val="20"/>
              </w:rPr>
              <w:lastRenderedPageBreak/>
              <w:t>Action Item</w:t>
            </w:r>
          </w:p>
        </w:tc>
        <w:tc>
          <w:tcPr>
            <w:tcW w:w="6768" w:type="dxa"/>
          </w:tcPr>
          <w:p w:rsidR="009A5507" w:rsidRDefault="009A5507" w:rsidP="009A5507">
            <w:pPr>
              <w:pStyle w:val="ListParagraph"/>
              <w:tabs>
                <w:tab w:val="right" w:pos="480"/>
                <w:tab w:val="left" w:leader="dot" w:pos="7380"/>
                <w:tab w:val="left" w:pos="7560"/>
              </w:tabs>
              <w:ind w:left="0"/>
              <w:rPr>
                <w:bCs/>
                <w:sz w:val="20"/>
                <w:szCs w:val="20"/>
              </w:rPr>
            </w:pPr>
            <w:r>
              <w:rPr>
                <w:bCs/>
                <w:sz w:val="20"/>
                <w:szCs w:val="20"/>
              </w:rPr>
              <w:t>Scott will craft something and bring back to COD for review.</w:t>
            </w:r>
          </w:p>
          <w:p w:rsidR="009A5507" w:rsidRDefault="009A5507" w:rsidP="009A5507">
            <w:pPr>
              <w:pStyle w:val="ListParagraph"/>
              <w:tabs>
                <w:tab w:val="right" w:pos="480"/>
                <w:tab w:val="left" w:leader="dot" w:pos="7380"/>
                <w:tab w:val="left" w:pos="7560"/>
              </w:tabs>
              <w:ind w:left="0"/>
              <w:rPr>
                <w:bCs/>
                <w:sz w:val="20"/>
                <w:szCs w:val="20"/>
              </w:rPr>
            </w:pPr>
          </w:p>
        </w:tc>
      </w:tr>
      <w:tr w:rsidR="00FF2A50" w:rsidTr="009B07D5">
        <w:tc>
          <w:tcPr>
            <w:tcW w:w="2088" w:type="dxa"/>
          </w:tcPr>
          <w:p w:rsidR="00FF2A50" w:rsidRDefault="00FF2A50" w:rsidP="0031127C">
            <w:pPr>
              <w:rPr>
                <w:b/>
                <w:color w:val="0000FF"/>
                <w:sz w:val="20"/>
                <w:szCs w:val="20"/>
              </w:rPr>
            </w:pPr>
            <w:r>
              <w:rPr>
                <w:b/>
                <w:color w:val="0000FF"/>
                <w:sz w:val="20"/>
                <w:szCs w:val="20"/>
              </w:rPr>
              <w:t>Endowed Professorships (Beth)</w:t>
            </w:r>
          </w:p>
          <w:p w:rsidR="00DF00D2" w:rsidRDefault="00DF00D2" w:rsidP="0031127C">
            <w:pPr>
              <w:rPr>
                <w:b/>
                <w:color w:val="0000FF"/>
                <w:sz w:val="20"/>
                <w:szCs w:val="20"/>
              </w:rPr>
            </w:pPr>
          </w:p>
        </w:tc>
        <w:tc>
          <w:tcPr>
            <w:tcW w:w="6768" w:type="dxa"/>
          </w:tcPr>
          <w:p w:rsidR="00FF2A50" w:rsidRDefault="00FF2A50" w:rsidP="00330BEF">
            <w:pPr>
              <w:pStyle w:val="ListParagraph"/>
              <w:tabs>
                <w:tab w:val="right" w:pos="480"/>
                <w:tab w:val="left" w:leader="dot" w:pos="7380"/>
                <w:tab w:val="left" w:pos="7560"/>
              </w:tabs>
              <w:ind w:left="0"/>
              <w:rPr>
                <w:bCs/>
                <w:sz w:val="20"/>
                <w:szCs w:val="20"/>
              </w:rPr>
            </w:pPr>
            <w:r>
              <w:rPr>
                <w:bCs/>
                <w:sz w:val="20"/>
                <w:szCs w:val="20"/>
              </w:rPr>
              <w:t>This item is postponed until the November 2 COD meeting.</w:t>
            </w:r>
          </w:p>
        </w:tc>
      </w:tr>
      <w:tr w:rsidR="00DF00D2" w:rsidTr="009B07D5">
        <w:tc>
          <w:tcPr>
            <w:tcW w:w="2088" w:type="dxa"/>
          </w:tcPr>
          <w:p w:rsidR="00DF00D2" w:rsidRDefault="00DF00D2" w:rsidP="0031127C">
            <w:pPr>
              <w:rPr>
                <w:b/>
                <w:color w:val="0000FF"/>
                <w:sz w:val="20"/>
                <w:szCs w:val="20"/>
              </w:rPr>
            </w:pPr>
            <w:r>
              <w:rPr>
                <w:b/>
                <w:color w:val="0000FF"/>
                <w:sz w:val="20"/>
                <w:szCs w:val="20"/>
              </w:rPr>
              <w:t>Policy 6 (Bob)</w:t>
            </w:r>
          </w:p>
          <w:p w:rsidR="00DF00D2" w:rsidRDefault="00DF00D2" w:rsidP="0031127C">
            <w:pPr>
              <w:rPr>
                <w:b/>
                <w:color w:val="0000FF"/>
                <w:sz w:val="20"/>
                <w:szCs w:val="20"/>
              </w:rPr>
            </w:pPr>
          </w:p>
        </w:tc>
        <w:tc>
          <w:tcPr>
            <w:tcW w:w="6768" w:type="dxa"/>
          </w:tcPr>
          <w:p w:rsidR="00DF00D2" w:rsidRDefault="00DF00D2" w:rsidP="00330BEF">
            <w:pPr>
              <w:pStyle w:val="ListParagraph"/>
              <w:tabs>
                <w:tab w:val="right" w:pos="480"/>
                <w:tab w:val="left" w:leader="dot" w:pos="7380"/>
                <w:tab w:val="left" w:pos="7560"/>
              </w:tabs>
              <w:ind w:left="0"/>
              <w:rPr>
                <w:bCs/>
                <w:sz w:val="20"/>
                <w:szCs w:val="20"/>
              </w:rPr>
            </w:pPr>
            <w:r>
              <w:rPr>
                <w:bCs/>
                <w:sz w:val="20"/>
                <w:szCs w:val="20"/>
              </w:rPr>
              <w:t>This item is postponed until the November 2 COD meeting.</w:t>
            </w:r>
          </w:p>
        </w:tc>
      </w:tr>
      <w:tr w:rsidR="00DF00D2" w:rsidTr="009B07D5">
        <w:tc>
          <w:tcPr>
            <w:tcW w:w="2088" w:type="dxa"/>
          </w:tcPr>
          <w:p w:rsidR="00DF00D2" w:rsidRDefault="00DF00D2" w:rsidP="0031127C">
            <w:pPr>
              <w:rPr>
                <w:b/>
                <w:color w:val="0000FF"/>
                <w:sz w:val="20"/>
                <w:szCs w:val="20"/>
              </w:rPr>
            </w:pPr>
            <w:r>
              <w:rPr>
                <w:b/>
                <w:color w:val="0000FF"/>
                <w:sz w:val="20"/>
                <w:szCs w:val="20"/>
              </w:rPr>
              <w:t>Summer Session (Beth/Linda)</w:t>
            </w:r>
          </w:p>
          <w:p w:rsidR="00DF00D2" w:rsidRDefault="00DF00D2" w:rsidP="0031127C">
            <w:pPr>
              <w:rPr>
                <w:b/>
                <w:color w:val="0000FF"/>
                <w:sz w:val="20"/>
                <w:szCs w:val="20"/>
              </w:rPr>
            </w:pPr>
          </w:p>
        </w:tc>
        <w:tc>
          <w:tcPr>
            <w:tcW w:w="6768" w:type="dxa"/>
          </w:tcPr>
          <w:p w:rsidR="00DF00D2" w:rsidRDefault="00DF00D2" w:rsidP="00330BEF">
            <w:pPr>
              <w:pStyle w:val="ListParagraph"/>
              <w:tabs>
                <w:tab w:val="right" w:pos="480"/>
                <w:tab w:val="left" w:leader="dot" w:pos="7380"/>
                <w:tab w:val="left" w:pos="7560"/>
              </w:tabs>
              <w:ind w:left="0"/>
              <w:rPr>
                <w:bCs/>
                <w:sz w:val="20"/>
                <w:szCs w:val="20"/>
              </w:rPr>
            </w:pPr>
            <w:r>
              <w:rPr>
                <w:bCs/>
                <w:sz w:val="20"/>
                <w:szCs w:val="20"/>
              </w:rPr>
              <w:t>This item is postponed until the November 2 COD meeting.</w:t>
            </w:r>
          </w:p>
        </w:tc>
      </w:tr>
      <w:tr w:rsidR="00DF00D2" w:rsidTr="009B07D5">
        <w:tc>
          <w:tcPr>
            <w:tcW w:w="2088" w:type="dxa"/>
          </w:tcPr>
          <w:p w:rsidR="00DF00D2" w:rsidRDefault="00C65162" w:rsidP="0031127C">
            <w:pPr>
              <w:rPr>
                <w:b/>
                <w:color w:val="0000FF"/>
                <w:sz w:val="20"/>
                <w:szCs w:val="20"/>
              </w:rPr>
            </w:pPr>
            <w:r>
              <w:rPr>
                <w:b/>
                <w:color w:val="0000FF"/>
                <w:sz w:val="20"/>
                <w:szCs w:val="20"/>
              </w:rPr>
              <w:t>Lapsed Salary Protocol (Linda)</w:t>
            </w:r>
          </w:p>
          <w:p w:rsidR="00890266" w:rsidRDefault="00890266" w:rsidP="0031127C">
            <w:pPr>
              <w:rPr>
                <w:b/>
                <w:color w:val="0000FF"/>
                <w:sz w:val="20"/>
                <w:szCs w:val="20"/>
              </w:rPr>
            </w:pPr>
          </w:p>
        </w:tc>
        <w:tc>
          <w:tcPr>
            <w:tcW w:w="6768" w:type="dxa"/>
          </w:tcPr>
          <w:p w:rsidR="00DF00D2" w:rsidRDefault="00C65162" w:rsidP="00330BEF">
            <w:pPr>
              <w:pStyle w:val="ListParagraph"/>
              <w:tabs>
                <w:tab w:val="right" w:pos="480"/>
                <w:tab w:val="left" w:leader="dot" w:pos="7380"/>
                <w:tab w:val="left" w:pos="7560"/>
              </w:tabs>
              <w:ind w:left="0"/>
              <w:rPr>
                <w:bCs/>
                <w:sz w:val="20"/>
                <w:szCs w:val="20"/>
              </w:rPr>
            </w:pPr>
            <w:r>
              <w:rPr>
                <w:bCs/>
                <w:sz w:val="20"/>
                <w:szCs w:val="20"/>
              </w:rPr>
              <w:t>Please review and send questions to Joe</w:t>
            </w:r>
            <w:r w:rsidR="001A718A">
              <w:rPr>
                <w:bCs/>
                <w:sz w:val="20"/>
                <w:szCs w:val="20"/>
              </w:rPr>
              <w:t xml:space="preserve"> and Linda.</w:t>
            </w:r>
          </w:p>
        </w:tc>
      </w:tr>
      <w:tr w:rsidR="00890266" w:rsidTr="009B07D5">
        <w:tc>
          <w:tcPr>
            <w:tcW w:w="2088" w:type="dxa"/>
          </w:tcPr>
          <w:p w:rsidR="00890266" w:rsidRDefault="00890266" w:rsidP="0031127C">
            <w:pPr>
              <w:rPr>
                <w:b/>
                <w:color w:val="0000FF"/>
                <w:sz w:val="20"/>
                <w:szCs w:val="20"/>
              </w:rPr>
            </w:pPr>
            <w:r>
              <w:rPr>
                <w:b/>
                <w:color w:val="0000FF"/>
                <w:sz w:val="20"/>
                <w:szCs w:val="20"/>
              </w:rPr>
              <w:t>E&amp;T Dollars (Linda)</w:t>
            </w:r>
          </w:p>
        </w:tc>
        <w:tc>
          <w:tcPr>
            <w:tcW w:w="6768" w:type="dxa"/>
          </w:tcPr>
          <w:p w:rsidR="00890266" w:rsidRDefault="00890266" w:rsidP="00330BEF">
            <w:pPr>
              <w:pStyle w:val="ListParagraph"/>
              <w:tabs>
                <w:tab w:val="right" w:pos="480"/>
                <w:tab w:val="left" w:leader="dot" w:pos="7380"/>
                <w:tab w:val="left" w:pos="7560"/>
              </w:tabs>
              <w:ind w:left="0"/>
              <w:rPr>
                <w:bCs/>
                <w:sz w:val="20"/>
                <w:szCs w:val="20"/>
              </w:rPr>
            </w:pPr>
            <w:r>
              <w:rPr>
                <w:bCs/>
                <w:sz w:val="20"/>
                <w:szCs w:val="20"/>
              </w:rPr>
              <w:t>Linda still needs proposals.  Linda distributed a handout to COD regarding where permanent monies are going to – this is due October 25</w:t>
            </w:r>
            <w:r w:rsidRPr="002C3C0B">
              <w:rPr>
                <w:bCs/>
                <w:sz w:val="20"/>
                <w:szCs w:val="20"/>
                <w:vertAlign w:val="superscript"/>
              </w:rPr>
              <w:t>th</w:t>
            </w:r>
            <w:r>
              <w:rPr>
                <w:bCs/>
                <w:sz w:val="20"/>
                <w:szCs w:val="20"/>
              </w:rPr>
              <w:t>.</w:t>
            </w:r>
          </w:p>
          <w:p w:rsidR="00524A29" w:rsidRDefault="00524A29" w:rsidP="00330BEF">
            <w:pPr>
              <w:pStyle w:val="ListParagraph"/>
              <w:tabs>
                <w:tab w:val="right" w:pos="480"/>
                <w:tab w:val="left" w:leader="dot" w:pos="7380"/>
                <w:tab w:val="left" w:pos="7560"/>
              </w:tabs>
              <w:ind w:left="0"/>
              <w:rPr>
                <w:bCs/>
                <w:sz w:val="20"/>
                <w:szCs w:val="20"/>
              </w:rPr>
            </w:pPr>
          </w:p>
        </w:tc>
      </w:tr>
      <w:tr w:rsidR="00524A29" w:rsidTr="009B07D5">
        <w:tc>
          <w:tcPr>
            <w:tcW w:w="2088" w:type="dxa"/>
          </w:tcPr>
          <w:p w:rsidR="00524A29" w:rsidRDefault="00524A29" w:rsidP="0031127C">
            <w:pPr>
              <w:rPr>
                <w:b/>
                <w:color w:val="0000FF"/>
                <w:sz w:val="20"/>
                <w:szCs w:val="20"/>
              </w:rPr>
            </w:pPr>
            <w:r>
              <w:rPr>
                <w:b/>
                <w:color w:val="0000FF"/>
                <w:sz w:val="20"/>
                <w:szCs w:val="20"/>
              </w:rPr>
              <w:t>Discretionary Funds (Linda)</w:t>
            </w:r>
          </w:p>
        </w:tc>
        <w:tc>
          <w:tcPr>
            <w:tcW w:w="6768" w:type="dxa"/>
          </w:tcPr>
          <w:p w:rsidR="00524A29" w:rsidRDefault="00524A29" w:rsidP="00330BEF">
            <w:pPr>
              <w:pStyle w:val="ListParagraph"/>
              <w:tabs>
                <w:tab w:val="right" w:pos="480"/>
                <w:tab w:val="left" w:leader="dot" w:pos="7380"/>
                <w:tab w:val="left" w:pos="7560"/>
              </w:tabs>
              <w:ind w:left="0"/>
              <w:rPr>
                <w:bCs/>
                <w:sz w:val="20"/>
                <w:szCs w:val="20"/>
              </w:rPr>
            </w:pPr>
            <w:r>
              <w:rPr>
                <w:bCs/>
                <w:sz w:val="20"/>
                <w:szCs w:val="20"/>
              </w:rPr>
              <w:t>This information is for you to review.  Linda has asked Dianne to come talk to us – not sure if that will happen.</w:t>
            </w: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p w:rsidR="009A5507" w:rsidRPr="005E407F" w:rsidRDefault="009A5507" w:rsidP="009A5507">
      <w:pPr>
        <w:rPr>
          <w:sz w:val="20"/>
          <w:szCs w:val="20"/>
        </w:rPr>
      </w:pPr>
      <w:r>
        <w:rPr>
          <w:sz w:val="20"/>
          <w:szCs w:val="20"/>
        </w:rPr>
        <w:t>There are no items.</w:t>
      </w:r>
    </w:p>
    <w:p w:rsidR="006B218F" w:rsidRDefault="006B218F" w:rsidP="00595C61">
      <w:pPr>
        <w:rPr>
          <w:b/>
          <w:color w:val="0000FF"/>
          <w:sz w:val="20"/>
          <w:szCs w:val="20"/>
        </w:rPr>
      </w:pPr>
    </w:p>
    <w:p w:rsidR="00930168" w:rsidRDefault="00930168" w:rsidP="00595C61">
      <w:pPr>
        <w:rPr>
          <w:b/>
          <w:color w:val="0000FF"/>
          <w:sz w:val="20"/>
          <w:szCs w:val="20"/>
        </w:rPr>
      </w:pPr>
      <w:r>
        <w:rPr>
          <w:b/>
          <w:color w:val="0000FF"/>
          <w:sz w:val="20"/>
          <w:szCs w:val="20"/>
        </w:rPr>
        <w:t>PROVOST UPDATES</w:t>
      </w:r>
    </w:p>
    <w:tbl>
      <w:tblPr>
        <w:tblStyle w:val="TableGrid"/>
        <w:tblW w:w="0" w:type="auto"/>
        <w:tblLook w:val="04A0"/>
      </w:tblPr>
      <w:tblGrid>
        <w:gridCol w:w="2088"/>
        <w:gridCol w:w="6768"/>
      </w:tblGrid>
      <w:tr w:rsidR="00930168" w:rsidTr="00930168">
        <w:tc>
          <w:tcPr>
            <w:tcW w:w="2088" w:type="dxa"/>
          </w:tcPr>
          <w:p w:rsidR="00A42BBA" w:rsidRDefault="009A5507" w:rsidP="00595C61">
            <w:pPr>
              <w:rPr>
                <w:b/>
                <w:color w:val="0000FF"/>
                <w:sz w:val="20"/>
                <w:szCs w:val="20"/>
              </w:rPr>
            </w:pPr>
            <w:r>
              <w:rPr>
                <w:b/>
                <w:color w:val="0000FF"/>
                <w:sz w:val="20"/>
                <w:szCs w:val="20"/>
              </w:rPr>
              <w:t>Chancellor Search Update</w:t>
            </w:r>
          </w:p>
        </w:tc>
        <w:tc>
          <w:tcPr>
            <w:tcW w:w="6768" w:type="dxa"/>
          </w:tcPr>
          <w:p w:rsidR="000E1853" w:rsidRPr="002C3C0B" w:rsidRDefault="000E1853" w:rsidP="00A41E35">
            <w:pPr>
              <w:tabs>
                <w:tab w:val="right" w:pos="480"/>
                <w:tab w:val="left" w:pos="720"/>
                <w:tab w:val="left" w:leader="dot" w:pos="7380"/>
                <w:tab w:val="left" w:pos="7560"/>
              </w:tabs>
              <w:rPr>
                <w:bCs/>
                <w:sz w:val="20"/>
                <w:szCs w:val="20"/>
              </w:rPr>
            </w:pPr>
            <w:r>
              <w:rPr>
                <w:bCs/>
                <w:sz w:val="20"/>
                <w:szCs w:val="20"/>
              </w:rPr>
              <w:t>We are bringing in three</w:t>
            </w:r>
            <w:r w:rsidRPr="002C3C0B">
              <w:rPr>
                <w:bCs/>
                <w:sz w:val="20"/>
                <w:szCs w:val="20"/>
              </w:rPr>
              <w:t xml:space="preserve"> search teams on </w:t>
            </w:r>
            <w:r>
              <w:rPr>
                <w:bCs/>
                <w:sz w:val="20"/>
                <w:szCs w:val="20"/>
              </w:rPr>
              <w:t xml:space="preserve">October 29.  They </w:t>
            </w:r>
            <w:r w:rsidRPr="002C3C0B">
              <w:rPr>
                <w:bCs/>
                <w:sz w:val="20"/>
                <w:szCs w:val="20"/>
              </w:rPr>
              <w:t>will decide which</w:t>
            </w:r>
            <w:r>
              <w:rPr>
                <w:bCs/>
                <w:sz w:val="20"/>
                <w:szCs w:val="20"/>
              </w:rPr>
              <w:t xml:space="preserve"> firm</w:t>
            </w:r>
            <w:r w:rsidRPr="002C3C0B">
              <w:rPr>
                <w:bCs/>
                <w:sz w:val="20"/>
                <w:szCs w:val="20"/>
              </w:rPr>
              <w:t xml:space="preserve"> by end of </w:t>
            </w:r>
            <w:r>
              <w:rPr>
                <w:bCs/>
                <w:sz w:val="20"/>
                <w:szCs w:val="20"/>
              </w:rPr>
              <w:t xml:space="preserve">the </w:t>
            </w:r>
            <w:r w:rsidRPr="002C3C0B">
              <w:rPr>
                <w:bCs/>
                <w:sz w:val="20"/>
                <w:szCs w:val="20"/>
              </w:rPr>
              <w:t>day.  W</w:t>
            </w:r>
            <w:r>
              <w:rPr>
                <w:bCs/>
                <w:sz w:val="20"/>
                <w:szCs w:val="20"/>
              </w:rPr>
              <w:t>e are working with Ann Lemon at GA who</w:t>
            </w:r>
            <w:r w:rsidRPr="002C3C0B">
              <w:rPr>
                <w:bCs/>
                <w:sz w:val="20"/>
                <w:szCs w:val="20"/>
              </w:rPr>
              <w:t xml:space="preserve"> worked</w:t>
            </w:r>
            <w:r>
              <w:rPr>
                <w:bCs/>
                <w:sz w:val="20"/>
                <w:szCs w:val="20"/>
              </w:rPr>
              <w:t xml:space="preserve"> on 12 searches this past year.  She will be providing lots of guidance.  The committee will have five Board of Trustee members, four</w:t>
            </w:r>
            <w:r w:rsidRPr="002C3C0B">
              <w:rPr>
                <w:bCs/>
                <w:sz w:val="20"/>
                <w:szCs w:val="20"/>
              </w:rPr>
              <w:t xml:space="preserve"> </w:t>
            </w:r>
            <w:proofErr w:type="gramStart"/>
            <w:r w:rsidRPr="002C3C0B">
              <w:rPr>
                <w:bCs/>
                <w:sz w:val="20"/>
                <w:szCs w:val="20"/>
              </w:rPr>
              <w:t>faculty</w:t>
            </w:r>
            <w:proofErr w:type="gramEnd"/>
            <w:r w:rsidRPr="002C3C0B">
              <w:rPr>
                <w:bCs/>
                <w:sz w:val="20"/>
                <w:szCs w:val="20"/>
              </w:rPr>
              <w:t xml:space="preserve"> (total about 15 members) – </w:t>
            </w:r>
            <w:r>
              <w:rPr>
                <w:bCs/>
                <w:sz w:val="20"/>
                <w:szCs w:val="20"/>
              </w:rPr>
              <w:t xml:space="preserve">we </w:t>
            </w:r>
            <w:r w:rsidRPr="002C3C0B">
              <w:rPr>
                <w:bCs/>
                <w:sz w:val="20"/>
                <w:szCs w:val="20"/>
              </w:rPr>
              <w:t>want faculty recommendations to come from Li</w:t>
            </w:r>
            <w:r>
              <w:rPr>
                <w:bCs/>
                <w:sz w:val="20"/>
                <w:szCs w:val="20"/>
              </w:rPr>
              <w:t xml:space="preserve">nda – one will be Erin McNelis.  We </w:t>
            </w:r>
            <w:r w:rsidRPr="002C3C0B">
              <w:rPr>
                <w:bCs/>
                <w:sz w:val="20"/>
                <w:szCs w:val="20"/>
              </w:rPr>
              <w:t>will have alumni, SGA, community members and staff (William Frady)</w:t>
            </w:r>
            <w:r>
              <w:rPr>
                <w:bCs/>
                <w:sz w:val="20"/>
                <w:szCs w:val="20"/>
              </w:rPr>
              <w:t xml:space="preserve"> participating as well.  Steve Warren, Chair of the board, s</w:t>
            </w:r>
            <w:r w:rsidRPr="002C3C0B">
              <w:rPr>
                <w:bCs/>
                <w:sz w:val="20"/>
                <w:szCs w:val="20"/>
              </w:rPr>
              <w:t xml:space="preserve">ent </w:t>
            </w:r>
            <w:r>
              <w:rPr>
                <w:bCs/>
                <w:sz w:val="20"/>
                <w:szCs w:val="20"/>
              </w:rPr>
              <w:t>out a broadcast email today.  In five</w:t>
            </w:r>
            <w:r w:rsidRPr="002C3C0B">
              <w:rPr>
                <w:bCs/>
                <w:sz w:val="20"/>
                <w:szCs w:val="20"/>
              </w:rPr>
              <w:t xml:space="preserve"> months </w:t>
            </w:r>
            <w:r>
              <w:rPr>
                <w:bCs/>
                <w:sz w:val="20"/>
                <w:szCs w:val="20"/>
              </w:rPr>
              <w:t xml:space="preserve">they </w:t>
            </w:r>
            <w:r w:rsidRPr="002C3C0B">
              <w:rPr>
                <w:bCs/>
                <w:sz w:val="20"/>
                <w:szCs w:val="20"/>
              </w:rPr>
              <w:t>plan to have 2-3 recommendations to president Ross for his consideration.</w:t>
            </w:r>
          </w:p>
          <w:p w:rsidR="00930168" w:rsidRPr="00A42BBA" w:rsidRDefault="00930168" w:rsidP="00595C61">
            <w:pPr>
              <w:rPr>
                <w:sz w:val="20"/>
                <w:szCs w:val="20"/>
              </w:rPr>
            </w:pPr>
          </w:p>
        </w:tc>
      </w:tr>
      <w:tr w:rsidR="00A42BBA" w:rsidTr="00930168">
        <w:tc>
          <w:tcPr>
            <w:tcW w:w="2088" w:type="dxa"/>
          </w:tcPr>
          <w:p w:rsidR="009D7DBE" w:rsidRDefault="00A41E35" w:rsidP="00595C61">
            <w:pPr>
              <w:rPr>
                <w:b/>
                <w:color w:val="0000FF"/>
                <w:sz w:val="20"/>
                <w:szCs w:val="20"/>
              </w:rPr>
            </w:pPr>
            <w:r>
              <w:rPr>
                <w:b/>
                <w:color w:val="0000FF"/>
                <w:sz w:val="20"/>
                <w:szCs w:val="20"/>
              </w:rPr>
              <w:t>CFO Search</w:t>
            </w:r>
          </w:p>
        </w:tc>
        <w:tc>
          <w:tcPr>
            <w:tcW w:w="6768" w:type="dxa"/>
          </w:tcPr>
          <w:p w:rsidR="00A41E35" w:rsidRPr="002C3C0B" w:rsidRDefault="00A41E35" w:rsidP="00A41E35">
            <w:pPr>
              <w:tabs>
                <w:tab w:val="right" w:pos="480"/>
                <w:tab w:val="left" w:pos="720"/>
                <w:tab w:val="left" w:leader="dot" w:pos="7380"/>
                <w:tab w:val="left" w:pos="7560"/>
              </w:tabs>
              <w:rPr>
                <w:bCs/>
                <w:sz w:val="20"/>
                <w:szCs w:val="20"/>
              </w:rPr>
            </w:pPr>
            <w:r>
              <w:rPr>
                <w:bCs/>
                <w:sz w:val="20"/>
                <w:szCs w:val="20"/>
              </w:rPr>
              <w:t>We currently</w:t>
            </w:r>
            <w:r w:rsidRPr="002C3C0B">
              <w:rPr>
                <w:bCs/>
                <w:sz w:val="20"/>
                <w:szCs w:val="20"/>
              </w:rPr>
              <w:t xml:space="preserve"> do n</w:t>
            </w:r>
            <w:r>
              <w:rPr>
                <w:bCs/>
                <w:sz w:val="20"/>
                <w:szCs w:val="20"/>
              </w:rPr>
              <w:t xml:space="preserve">ot have a plan in place.  </w:t>
            </w:r>
            <w:r w:rsidRPr="002C3C0B">
              <w:rPr>
                <w:bCs/>
                <w:sz w:val="20"/>
                <w:szCs w:val="20"/>
              </w:rPr>
              <w:t xml:space="preserve">Jeanine Newman is also retiring on 12/30.  </w:t>
            </w:r>
          </w:p>
          <w:p w:rsidR="00A0436F" w:rsidRDefault="00A0436F" w:rsidP="00595C61">
            <w:pPr>
              <w:rPr>
                <w:sz w:val="20"/>
                <w:szCs w:val="20"/>
              </w:rPr>
            </w:pPr>
          </w:p>
        </w:tc>
      </w:tr>
      <w:tr w:rsidR="009D7DBE" w:rsidTr="00930168">
        <w:tc>
          <w:tcPr>
            <w:tcW w:w="2088" w:type="dxa"/>
          </w:tcPr>
          <w:p w:rsidR="009D7DBE" w:rsidRDefault="003C7B91" w:rsidP="00595C61">
            <w:pPr>
              <w:rPr>
                <w:b/>
                <w:color w:val="0000FF"/>
                <w:sz w:val="20"/>
                <w:szCs w:val="20"/>
              </w:rPr>
            </w:pPr>
            <w:r>
              <w:rPr>
                <w:b/>
                <w:color w:val="0000FF"/>
                <w:sz w:val="20"/>
                <w:szCs w:val="20"/>
              </w:rPr>
              <w:t>Page charges</w:t>
            </w:r>
          </w:p>
        </w:tc>
        <w:tc>
          <w:tcPr>
            <w:tcW w:w="6768" w:type="dxa"/>
          </w:tcPr>
          <w:p w:rsidR="003C7B91" w:rsidRPr="002C3C0B" w:rsidRDefault="003C7B91" w:rsidP="003C7B91">
            <w:pPr>
              <w:tabs>
                <w:tab w:val="right" w:pos="480"/>
                <w:tab w:val="left" w:pos="720"/>
                <w:tab w:val="left" w:leader="dot" w:pos="7380"/>
                <w:tab w:val="left" w:pos="7560"/>
              </w:tabs>
              <w:rPr>
                <w:bCs/>
                <w:sz w:val="20"/>
                <w:szCs w:val="20"/>
              </w:rPr>
            </w:pPr>
            <w:proofErr w:type="gramStart"/>
            <w:r>
              <w:rPr>
                <w:bCs/>
                <w:sz w:val="20"/>
                <w:szCs w:val="20"/>
              </w:rPr>
              <w:t>F</w:t>
            </w:r>
            <w:r w:rsidRPr="002C3C0B">
              <w:rPr>
                <w:bCs/>
                <w:sz w:val="20"/>
                <w:szCs w:val="20"/>
              </w:rPr>
              <w:t>aculty are</w:t>
            </w:r>
            <w:proofErr w:type="gramEnd"/>
            <w:r w:rsidRPr="002C3C0B">
              <w:rPr>
                <w:bCs/>
                <w:sz w:val="20"/>
                <w:szCs w:val="20"/>
              </w:rPr>
              <w:t xml:space="preserve"> paying to p</w:t>
            </w:r>
            <w:r>
              <w:rPr>
                <w:bCs/>
                <w:sz w:val="20"/>
                <w:szCs w:val="20"/>
              </w:rPr>
              <w:t>ublish in high level journals.  W</w:t>
            </w:r>
            <w:r w:rsidRPr="002C3C0B">
              <w:rPr>
                <w:bCs/>
                <w:sz w:val="20"/>
                <w:szCs w:val="20"/>
              </w:rPr>
              <w:t>ho here has to pay page charges to publish?  COD says this is a rare exception (chemistry, engineering).  W</w:t>
            </w:r>
            <w:r>
              <w:rPr>
                <w:bCs/>
                <w:sz w:val="20"/>
                <w:szCs w:val="20"/>
              </w:rPr>
              <w:t>e w</w:t>
            </w:r>
            <w:r w:rsidRPr="002C3C0B">
              <w:rPr>
                <w:bCs/>
                <w:sz w:val="20"/>
                <w:szCs w:val="20"/>
              </w:rPr>
              <w:t>an</w:t>
            </w:r>
            <w:r>
              <w:rPr>
                <w:bCs/>
                <w:sz w:val="20"/>
                <w:szCs w:val="20"/>
              </w:rPr>
              <w:t>t</w:t>
            </w:r>
            <w:r w:rsidRPr="002C3C0B">
              <w:rPr>
                <w:bCs/>
                <w:sz w:val="20"/>
                <w:szCs w:val="20"/>
              </w:rPr>
              <w:t xml:space="preserve"> to put something in for the chancellor’s travel fund to cover some of this.</w:t>
            </w:r>
          </w:p>
          <w:p w:rsidR="004D27A2" w:rsidRDefault="004D27A2" w:rsidP="00D660A1">
            <w:pPr>
              <w:rPr>
                <w:sz w:val="20"/>
                <w:szCs w:val="20"/>
              </w:rPr>
            </w:pPr>
          </w:p>
        </w:tc>
      </w:tr>
      <w:tr w:rsidR="00C30A61" w:rsidTr="00930168">
        <w:tc>
          <w:tcPr>
            <w:tcW w:w="2088" w:type="dxa"/>
          </w:tcPr>
          <w:p w:rsidR="00C30A61" w:rsidRDefault="00AE5B70" w:rsidP="00595C61">
            <w:pPr>
              <w:rPr>
                <w:b/>
                <w:color w:val="0000FF"/>
                <w:sz w:val="20"/>
                <w:szCs w:val="20"/>
              </w:rPr>
            </w:pPr>
            <w:r>
              <w:rPr>
                <w:b/>
                <w:color w:val="0000FF"/>
                <w:sz w:val="20"/>
                <w:szCs w:val="20"/>
              </w:rPr>
              <w:t xml:space="preserve">Steven </w:t>
            </w:r>
            <w:proofErr w:type="spellStart"/>
            <w:r>
              <w:rPr>
                <w:b/>
                <w:color w:val="0000FF"/>
                <w:sz w:val="20"/>
                <w:szCs w:val="20"/>
              </w:rPr>
              <w:t>Leath</w:t>
            </w:r>
            <w:proofErr w:type="spellEnd"/>
            <w:r>
              <w:rPr>
                <w:b/>
                <w:color w:val="0000FF"/>
                <w:sz w:val="20"/>
                <w:szCs w:val="20"/>
              </w:rPr>
              <w:t xml:space="preserve"> Visit</w:t>
            </w:r>
          </w:p>
        </w:tc>
        <w:tc>
          <w:tcPr>
            <w:tcW w:w="6768" w:type="dxa"/>
          </w:tcPr>
          <w:p w:rsidR="00AE5B70" w:rsidRPr="002C3C0B" w:rsidRDefault="00AE5B70" w:rsidP="00AE5B70">
            <w:pPr>
              <w:tabs>
                <w:tab w:val="right" w:pos="480"/>
                <w:tab w:val="left" w:pos="720"/>
                <w:tab w:val="left" w:leader="dot" w:pos="7380"/>
                <w:tab w:val="left" w:pos="7560"/>
              </w:tabs>
              <w:rPr>
                <w:bCs/>
                <w:sz w:val="20"/>
                <w:szCs w:val="20"/>
              </w:rPr>
            </w:pPr>
            <w:r w:rsidRPr="002C3C0B">
              <w:rPr>
                <w:bCs/>
                <w:sz w:val="20"/>
                <w:szCs w:val="20"/>
              </w:rPr>
              <w:t xml:space="preserve">Steven </w:t>
            </w:r>
            <w:proofErr w:type="spellStart"/>
            <w:r w:rsidRPr="002C3C0B">
              <w:rPr>
                <w:bCs/>
                <w:sz w:val="20"/>
                <w:szCs w:val="20"/>
              </w:rPr>
              <w:t>Leath</w:t>
            </w:r>
            <w:proofErr w:type="spellEnd"/>
            <w:r w:rsidRPr="002C3C0B">
              <w:rPr>
                <w:bCs/>
                <w:sz w:val="20"/>
                <w:szCs w:val="20"/>
              </w:rPr>
              <w:t xml:space="preserve"> and Sarah Smith</w:t>
            </w:r>
            <w:r>
              <w:rPr>
                <w:bCs/>
                <w:sz w:val="20"/>
                <w:szCs w:val="20"/>
              </w:rPr>
              <w:t xml:space="preserve"> from GA</w:t>
            </w:r>
            <w:r w:rsidRPr="002C3C0B">
              <w:rPr>
                <w:bCs/>
                <w:sz w:val="20"/>
                <w:szCs w:val="20"/>
              </w:rPr>
              <w:t xml:space="preserve"> visited </w:t>
            </w:r>
            <w:r>
              <w:rPr>
                <w:bCs/>
                <w:sz w:val="20"/>
                <w:szCs w:val="20"/>
              </w:rPr>
              <w:t xml:space="preserve">our </w:t>
            </w:r>
            <w:r w:rsidRPr="002C3C0B">
              <w:rPr>
                <w:bCs/>
                <w:sz w:val="20"/>
                <w:szCs w:val="20"/>
              </w:rPr>
              <w:t>campus</w:t>
            </w:r>
            <w:r>
              <w:rPr>
                <w:bCs/>
                <w:sz w:val="20"/>
                <w:szCs w:val="20"/>
              </w:rPr>
              <w:t>.  We spoke with them about indirect costs.  They w</w:t>
            </w:r>
            <w:r w:rsidRPr="002C3C0B">
              <w:rPr>
                <w:bCs/>
                <w:sz w:val="20"/>
                <w:szCs w:val="20"/>
              </w:rPr>
              <w:t xml:space="preserve">ill provide </w:t>
            </w:r>
            <w:r>
              <w:rPr>
                <w:bCs/>
                <w:sz w:val="20"/>
                <w:szCs w:val="20"/>
              </w:rPr>
              <w:t xml:space="preserve">a </w:t>
            </w:r>
            <w:r w:rsidRPr="002C3C0B">
              <w:rPr>
                <w:bCs/>
                <w:sz w:val="20"/>
                <w:szCs w:val="20"/>
              </w:rPr>
              <w:t>prelim</w:t>
            </w:r>
            <w:r>
              <w:rPr>
                <w:bCs/>
                <w:sz w:val="20"/>
                <w:szCs w:val="20"/>
              </w:rPr>
              <w:t>inary report then return to WCU to</w:t>
            </w:r>
            <w:r w:rsidRPr="002C3C0B">
              <w:rPr>
                <w:bCs/>
                <w:sz w:val="20"/>
                <w:szCs w:val="20"/>
              </w:rPr>
              <w:t xml:space="preserve"> talk to </w:t>
            </w:r>
            <w:r>
              <w:rPr>
                <w:bCs/>
                <w:sz w:val="20"/>
                <w:szCs w:val="20"/>
              </w:rPr>
              <w:t>COD</w:t>
            </w:r>
            <w:r w:rsidRPr="002C3C0B">
              <w:rPr>
                <w:bCs/>
                <w:sz w:val="20"/>
                <w:szCs w:val="20"/>
              </w:rPr>
              <w:t xml:space="preserve">, tour labs, etc.  </w:t>
            </w:r>
          </w:p>
          <w:p w:rsidR="00D35FEA" w:rsidRDefault="00D35FEA" w:rsidP="00595C61">
            <w:pPr>
              <w:rPr>
                <w:bCs/>
                <w:sz w:val="20"/>
                <w:szCs w:val="20"/>
              </w:rPr>
            </w:pPr>
          </w:p>
        </w:tc>
      </w:tr>
      <w:tr w:rsidR="00F5328D" w:rsidTr="00930168">
        <w:tc>
          <w:tcPr>
            <w:tcW w:w="2088" w:type="dxa"/>
          </w:tcPr>
          <w:p w:rsidR="003D496D" w:rsidRDefault="00FD55B7" w:rsidP="00595C61">
            <w:pPr>
              <w:rPr>
                <w:b/>
                <w:color w:val="0000FF"/>
                <w:sz w:val="20"/>
                <w:szCs w:val="20"/>
              </w:rPr>
            </w:pPr>
            <w:r>
              <w:rPr>
                <w:b/>
                <w:color w:val="0000FF"/>
                <w:sz w:val="20"/>
                <w:szCs w:val="20"/>
              </w:rPr>
              <w:t>Differential Tuition Proposals</w:t>
            </w:r>
          </w:p>
        </w:tc>
        <w:tc>
          <w:tcPr>
            <w:tcW w:w="6768" w:type="dxa"/>
          </w:tcPr>
          <w:p w:rsidR="00157406" w:rsidRPr="002C3C0B" w:rsidRDefault="00157406" w:rsidP="00157406">
            <w:pPr>
              <w:tabs>
                <w:tab w:val="right" w:pos="480"/>
                <w:tab w:val="left" w:pos="720"/>
                <w:tab w:val="left" w:leader="dot" w:pos="7380"/>
                <w:tab w:val="left" w:pos="7560"/>
              </w:tabs>
              <w:rPr>
                <w:bCs/>
                <w:sz w:val="20"/>
                <w:szCs w:val="20"/>
              </w:rPr>
            </w:pPr>
            <w:r>
              <w:rPr>
                <w:bCs/>
                <w:sz w:val="20"/>
                <w:szCs w:val="20"/>
              </w:rPr>
              <w:t>Linda has receive</w:t>
            </w:r>
            <w:r w:rsidRPr="002C3C0B">
              <w:rPr>
                <w:bCs/>
                <w:sz w:val="20"/>
                <w:szCs w:val="20"/>
              </w:rPr>
              <w:t xml:space="preserve">d </w:t>
            </w:r>
            <w:r>
              <w:rPr>
                <w:bCs/>
                <w:sz w:val="20"/>
                <w:szCs w:val="20"/>
              </w:rPr>
              <w:t>a proposal from Marie</w:t>
            </w:r>
            <w:r w:rsidRPr="002C3C0B">
              <w:rPr>
                <w:bCs/>
                <w:sz w:val="20"/>
                <w:szCs w:val="20"/>
              </w:rPr>
              <w:t xml:space="preserve"> and </w:t>
            </w:r>
            <w:r>
              <w:rPr>
                <w:bCs/>
                <w:sz w:val="20"/>
                <w:szCs w:val="20"/>
              </w:rPr>
              <w:t>Robert</w:t>
            </w:r>
            <w:r w:rsidRPr="002C3C0B">
              <w:rPr>
                <w:bCs/>
                <w:sz w:val="20"/>
                <w:szCs w:val="20"/>
              </w:rPr>
              <w:t xml:space="preserve">.  Anybody else?  Wendy </w:t>
            </w:r>
            <w:r>
              <w:rPr>
                <w:bCs/>
                <w:sz w:val="20"/>
                <w:szCs w:val="20"/>
              </w:rPr>
              <w:t>will resend her proposal to Linda</w:t>
            </w:r>
            <w:r w:rsidRPr="002C3C0B">
              <w:rPr>
                <w:bCs/>
                <w:sz w:val="20"/>
                <w:szCs w:val="20"/>
              </w:rPr>
              <w:t>.  No one else plans to send</w:t>
            </w:r>
            <w:r>
              <w:rPr>
                <w:bCs/>
                <w:sz w:val="20"/>
                <w:szCs w:val="20"/>
              </w:rPr>
              <w:t xml:space="preserve"> a proposal</w:t>
            </w:r>
            <w:r w:rsidRPr="002C3C0B">
              <w:rPr>
                <w:bCs/>
                <w:sz w:val="20"/>
                <w:szCs w:val="20"/>
              </w:rPr>
              <w:t>.</w:t>
            </w:r>
            <w:r w:rsidR="008278C8">
              <w:rPr>
                <w:bCs/>
                <w:sz w:val="20"/>
                <w:szCs w:val="20"/>
              </w:rPr>
              <w:t xml:space="preserve">  Fees will be easi</w:t>
            </w:r>
            <w:r w:rsidR="008278C8" w:rsidRPr="002C3C0B">
              <w:rPr>
                <w:bCs/>
                <w:sz w:val="20"/>
                <w:szCs w:val="20"/>
              </w:rPr>
              <w:t>er to get through than differential tuition</w:t>
            </w:r>
            <w:r w:rsidR="008278C8">
              <w:rPr>
                <w:bCs/>
                <w:sz w:val="20"/>
                <w:szCs w:val="20"/>
              </w:rPr>
              <w:t>.</w:t>
            </w:r>
          </w:p>
          <w:p w:rsidR="00F5328D" w:rsidRDefault="00F5328D" w:rsidP="00595C61">
            <w:pPr>
              <w:rPr>
                <w:bCs/>
                <w:sz w:val="20"/>
                <w:szCs w:val="20"/>
              </w:rPr>
            </w:pPr>
          </w:p>
        </w:tc>
      </w:tr>
      <w:tr w:rsidR="003D496D" w:rsidTr="00930168">
        <w:tc>
          <w:tcPr>
            <w:tcW w:w="2088" w:type="dxa"/>
          </w:tcPr>
          <w:p w:rsidR="003D496D" w:rsidRDefault="008278C8" w:rsidP="00595C61">
            <w:pPr>
              <w:rPr>
                <w:b/>
                <w:color w:val="0000FF"/>
                <w:sz w:val="20"/>
                <w:szCs w:val="20"/>
              </w:rPr>
            </w:pPr>
            <w:r>
              <w:rPr>
                <w:b/>
                <w:color w:val="0000FF"/>
                <w:sz w:val="20"/>
                <w:szCs w:val="20"/>
              </w:rPr>
              <w:lastRenderedPageBreak/>
              <w:t>Budget</w:t>
            </w:r>
          </w:p>
        </w:tc>
        <w:tc>
          <w:tcPr>
            <w:tcW w:w="6768" w:type="dxa"/>
          </w:tcPr>
          <w:p w:rsidR="008278C8" w:rsidRPr="002C3C0B" w:rsidRDefault="008278C8" w:rsidP="008278C8">
            <w:pPr>
              <w:tabs>
                <w:tab w:val="right" w:pos="480"/>
                <w:tab w:val="left" w:pos="720"/>
                <w:tab w:val="left" w:leader="dot" w:pos="7380"/>
                <w:tab w:val="left" w:pos="7560"/>
              </w:tabs>
              <w:rPr>
                <w:bCs/>
                <w:sz w:val="20"/>
                <w:szCs w:val="20"/>
              </w:rPr>
            </w:pPr>
            <w:r>
              <w:rPr>
                <w:bCs/>
                <w:sz w:val="20"/>
                <w:szCs w:val="20"/>
              </w:rPr>
              <w:t>There is</w:t>
            </w:r>
            <w:r w:rsidRPr="002C3C0B">
              <w:rPr>
                <w:bCs/>
                <w:sz w:val="20"/>
                <w:szCs w:val="20"/>
              </w:rPr>
              <w:t xml:space="preserve"> concern we will lose lapsed salary dollars </w:t>
            </w:r>
            <w:r>
              <w:rPr>
                <w:bCs/>
                <w:sz w:val="20"/>
                <w:szCs w:val="20"/>
              </w:rPr>
              <w:t xml:space="preserve">that are being </w:t>
            </w:r>
            <w:r w:rsidRPr="002C3C0B">
              <w:rPr>
                <w:bCs/>
                <w:sz w:val="20"/>
                <w:szCs w:val="20"/>
              </w:rPr>
              <w:t>held for equipment.  Things are very uncertain right now.</w:t>
            </w:r>
          </w:p>
          <w:p w:rsidR="003D496D" w:rsidRDefault="003D496D" w:rsidP="00595C61">
            <w:pPr>
              <w:rPr>
                <w:bCs/>
                <w:sz w:val="20"/>
                <w:szCs w:val="20"/>
              </w:rPr>
            </w:pPr>
          </w:p>
        </w:tc>
      </w:tr>
    </w:tbl>
    <w:p w:rsidR="00930168" w:rsidRDefault="00930168" w:rsidP="00595C61">
      <w:pPr>
        <w:rPr>
          <w:b/>
          <w:color w:val="0000FF"/>
          <w:sz w:val="20"/>
          <w:szCs w:val="20"/>
        </w:rPr>
      </w:pPr>
    </w:p>
    <w:p w:rsidR="006B218F" w:rsidRPr="007B27FE" w:rsidRDefault="006B218F" w:rsidP="00595C61">
      <w:pPr>
        <w:rPr>
          <w:sz w:val="20"/>
          <w:szCs w:val="20"/>
        </w:rPr>
      </w:pPr>
      <w:proofErr w:type="gramStart"/>
      <w:r>
        <w:rPr>
          <w:sz w:val="20"/>
          <w:szCs w:val="20"/>
        </w:rPr>
        <w:t>c</w:t>
      </w:r>
      <w:proofErr w:type="gramEnd"/>
      <w:r>
        <w:rPr>
          <w:sz w:val="20"/>
          <w:szCs w:val="20"/>
        </w:rPr>
        <w:t xml:space="preserve">: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CUUser" w:date="2010-10-21T08:24:00Z" w:initials="W">
    <w:p w:rsidR="008C5F15" w:rsidRDefault="008C5F15">
      <w:pPr>
        <w:pStyle w:val="CommentText"/>
      </w:pPr>
      <w:r>
        <w:rPr>
          <w:rStyle w:val="CommentReference"/>
        </w:rPr>
        <w:annotationRef/>
      </w:r>
      <w:r>
        <w:t>I think this might be “academic” rather than adult---but I’m not sure. BTL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706F88"/>
    <w:multiLevelType w:val="hybridMultilevel"/>
    <w:tmpl w:val="5192BB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A6285"/>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7">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8"/>
  </w:num>
  <w:num w:numId="2">
    <w:abstractNumId w:val="20"/>
  </w:num>
  <w:num w:numId="3">
    <w:abstractNumId w:val="5"/>
  </w:num>
  <w:num w:numId="4">
    <w:abstractNumId w:val="16"/>
  </w:num>
  <w:num w:numId="5">
    <w:abstractNumId w:val="19"/>
  </w:num>
  <w:num w:numId="6">
    <w:abstractNumId w:val="7"/>
  </w:num>
  <w:num w:numId="7">
    <w:abstractNumId w:val="18"/>
  </w:num>
  <w:num w:numId="8">
    <w:abstractNumId w:val="22"/>
  </w:num>
  <w:num w:numId="9">
    <w:abstractNumId w:val="2"/>
  </w:num>
  <w:num w:numId="10">
    <w:abstractNumId w:val="10"/>
  </w:num>
  <w:num w:numId="11">
    <w:abstractNumId w:val="1"/>
  </w:num>
  <w:num w:numId="12">
    <w:abstractNumId w:val="6"/>
  </w:num>
  <w:num w:numId="13">
    <w:abstractNumId w:val="11"/>
  </w:num>
  <w:num w:numId="14">
    <w:abstractNumId w:val="4"/>
  </w:num>
  <w:num w:numId="15">
    <w:abstractNumId w:val="3"/>
  </w:num>
  <w:num w:numId="16">
    <w:abstractNumId w:val="23"/>
  </w:num>
  <w:num w:numId="17">
    <w:abstractNumId w:val="21"/>
  </w:num>
  <w:num w:numId="18">
    <w:abstractNumId w:val="13"/>
  </w:num>
  <w:num w:numId="19">
    <w:abstractNumId w:val="17"/>
  </w:num>
  <w:num w:numId="20">
    <w:abstractNumId w:val="0"/>
  </w:num>
  <w:num w:numId="21">
    <w:abstractNumId w:val="14"/>
  </w:num>
  <w:num w:numId="22">
    <w:abstractNumId w:val="15"/>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595C61"/>
    <w:rsid w:val="00000C2E"/>
    <w:rsid w:val="00001DC8"/>
    <w:rsid w:val="0001117A"/>
    <w:rsid w:val="0001314C"/>
    <w:rsid w:val="00015260"/>
    <w:rsid w:val="0002124A"/>
    <w:rsid w:val="000300DA"/>
    <w:rsid w:val="00040C24"/>
    <w:rsid w:val="00041A7C"/>
    <w:rsid w:val="00041F98"/>
    <w:rsid w:val="0004373A"/>
    <w:rsid w:val="000478D3"/>
    <w:rsid w:val="00054680"/>
    <w:rsid w:val="0006285B"/>
    <w:rsid w:val="00081C2E"/>
    <w:rsid w:val="00095F4E"/>
    <w:rsid w:val="000A13A7"/>
    <w:rsid w:val="000A5E82"/>
    <w:rsid w:val="000C0764"/>
    <w:rsid w:val="000C1B57"/>
    <w:rsid w:val="000C4312"/>
    <w:rsid w:val="000E1853"/>
    <w:rsid w:val="000E49F3"/>
    <w:rsid w:val="00111431"/>
    <w:rsid w:val="00112DAE"/>
    <w:rsid w:val="001227B3"/>
    <w:rsid w:val="00134B11"/>
    <w:rsid w:val="001360BE"/>
    <w:rsid w:val="00136C4F"/>
    <w:rsid w:val="001503FC"/>
    <w:rsid w:val="00150658"/>
    <w:rsid w:val="00151B97"/>
    <w:rsid w:val="00155766"/>
    <w:rsid w:val="00157406"/>
    <w:rsid w:val="00166E00"/>
    <w:rsid w:val="001757DA"/>
    <w:rsid w:val="00184F04"/>
    <w:rsid w:val="00185162"/>
    <w:rsid w:val="001A1469"/>
    <w:rsid w:val="001A718A"/>
    <w:rsid w:val="001B14C8"/>
    <w:rsid w:val="001B33BE"/>
    <w:rsid w:val="001C6A46"/>
    <w:rsid w:val="001D71F8"/>
    <w:rsid w:val="001E1C31"/>
    <w:rsid w:val="001F4163"/>
    <w:rsid w:val="001F4A53"/>
    <w:rsid w:val="001F4A67"/>
    <w:rsid w:val="00200621"/>
    <w:rsid w:val="00205D36"/>
    <w:rsid w:val="0021024A"/>
    <w:rsid w:val="00211390"/>
    <w:rsid w:val="00211875"/>
    <w:rsid w:val="00211FC8"/>
    <w:rsid w:val="00214725"/>
    <w:rsid w:val="00217E3B"/>
    <w:rsid w:val="00221800"/>
    <w:rsid w:val="00222A81"/>
    <w:rsid w:val="00224315"/>
    <w:rsid w:val="00231417"/>
    <w:rsid w:val="0023291F"/>
    <w:rsid w:val="00237972"/>
    <w:rsid w:val="00241B20"/>
    <w:rsid w:val="00242AA4"/>
    <w:rsid w:val="002505F1"/>
    <w:rsid w:val="00250EBF"/>
    <w:rsid w:val="00254B6B"/>
    <w:rsid w:val="0026010B"/>
    <w:rsid w:val="00290D54"/>
    <w:rsid w:val="002B118D"/>
    <w:rsid w:val="002B5CE6"/>
    <w:rsid w:val="002B6FB0"/>
    <w:rsid w:val="002C3CBB"/>
    <w:rsid w:val="002D50A0"/>
    <w:rsid w:val="002D5AA9"/>
    <w:rsid w:val="002E1638"/>
    <w:rsid w:val="002E5B2A"/>
    <w:rsid w:val="002E75C3"/>
    <w:rsid w:val="002E7DC1"/>
    <w:rsid w:val="002F0FB1"/>
    <w:rsid w:val="002F1878"/>
    <w:rsid w:val="002F7EE2"/>
    <w:rsid w:val="003038A3"/>
    <w:rsid w:val="00303EEA"/>
    <w:rsid w:val="003103C3"/>
    <w:rsid w:val="0031127C"/>
    <w:rsid w:val="00323C2E"/>
    <w:rsid w:val="003301E8"/>
    <w:rsid w:val="00330BEF"/>
    <w:rsid w:val="00331652"/>
    <w:rsid w:val="00331BEF"/>
    <w:rsid w:val="00345B1F"/>
    <w:rsid w:val="00346F8F"/>
    <w:rsid w:val="0036582B"/>
    <w:rsid w:val="00367E8A"/>
    <w:rsid w:val="00370944"/>
    <w:rsid w:val="0039470E"/>
    <w:rsid w:val="00397179"/>
    <w:rsid w:val="003A0528"/>
    <w:rsid w:val="003B139F"/>
    <w:rsid w:val="003C2B2E"/>
    <w:rsid w:val="003C462F"/>
    <w:rsid w:val="003C6519"/>
    <w:rsid w:val="003C722E"/>
    <w:rsid w:val="003C7B91"/>
    <w:rsid w:val="003D496D"/>
    <w:rsid w:val="003D4D0A"/>
    <w:rsid w:val="003E0850"/>
    <w:rsid w:val="003E21D7"/>
    <w:rsid w:val="003E749A"/>
    <w:rsid w:val="00403F91"/>
    <w:rsid w:val="0040420A"/>
    <w:rsid w:val="00404978"/>
    <w:rsid w:val="004152CA"/>
    <w:rsid w:val="004158C7"/>
    <w:rsid w:val="00417D78"/>
    <w:rsid w:val="004229E1"/>
    <w:rsid w:val="00423505"/>
    <w:rsid w:val="00436EC3"/>
    <w:rsid w:val="00443C1D"/>
    <w:rsid w:val="00444452"/>
    <w:rsid w:val="00445069"/>
    <w:rsid w:val="00446EF3"/>
    <w:rsid w:val="00453D02"/>
    <w:rsid w:val="004627E9"/>
    <w:rsid w:val="0046524B"/>
    <w:rsid w:val="00470627"/>
    <w:rsid w:val="004769AB"/>
    <w:rsid w:val="0048217E"/>
    <w:rsid w:val="00485962"/>
    <w:rsid w:val="00487F92"/>
    <w:rsid w:val="004925E9"/>
    <w:rsid w:val="004A714A"/>
    <w:rsid w:val="004A7E3E"/>
    <w:rsid w:val="004C48F8"/>
    <w:rsid w:val="004C509D"/>
    <w:rsid w:val="004D27A2"/>
    <w:rsid w:val="004F35F5"/>
    <w:rsid w:val="00505EFD"/>
    <w:rsid w:val="00506A9E"/>
    <w:rsid w:val="005202DC"/>
    <w:rsid w:val="00524A29"/>
    <w:rsid w:val="00527636"/>
    <w:rsid w:val="00527A74"/>
    <w:rsid w:val="00527CC3"/>
    <w:rsid w:val="0053478D"/>
    <w:rsid w:val="00550188"/>
    <w:rsid w:val="005523EA"/>
    <w:rsid w:val="005619E8"/>
    <w:rsid w:val="00562C32"/>
    <w:rsid w:val="00570DF2"/>
    <w:rsid w:val="0057168F"/>
    <w:rsid w:val="005759AC"/>
    <w:rsid w:val="00576C69"/>
    <w:rsid w:val="00576F0E"/>
    <w:rsid w:val="00586C84"/>
    <w:rsid w:val="00595C61"/>
    <w:rsid w:val="005A1966"/>
    <w:rsid w:val="005A5FE0"/>
    <w:rsid w:val="005B199E"/>
    <w:rsid w:val="005B1DF9"/>
    <w:rsid w:val="005B3657"/>
    <w:rsid w:val="005B690C"/>
    <w:rsid w:val="005C0C71"/>
    <w:rsid w:val="005C61E9"/>
    <w:rsid w:val="005E407F"/>
    <w:rsid w:val="005E4C81"/>
    <w:rsid w:val="005E5A79"/>
    <w:rsid w:val="005E75E1"/>
    <w:rsid w:val="005F13A5"/>
    <w:rsid w:val="005F52FC"/>
    <w:rsid w:val="005F755F"/>
    <w:rsid w:val="00612295"/>
    <w:rsid w:val="00620C67"/>
    <w:rsid w:val="0062591F"/>
    <w:rsid w:val="00634544"/>
    <w:rsid w:val="00636E7A"/>
    <w:rsid w:val="006374BE"/>
    <w:rsid w:val="00637D8B"/>
    <w:rsid w:val="00651B70"/>
    <w:rsid w:val="00661A84"/>
    <w:rsid w:val="00662491"/>
    <w:rsid w:val="00666774"/>
    <w:rsid w:val="00674077"/>
    <w:rsid w:val="006853EB"/>
    <w:rsid w:val="00687F3F"/>
    <w:rsid w:val="00694D01"/>
    <w:rsid w:val="006A2B65"/>
    <w:rsid w:val="006B08FA"/>
    <w:rsid w:val="006B218F"/>
    <w:rsid w:val="006B2F3C"/>
    <w:rsid w:val="006B4107"/>
    <w:rsid w:val="006B4977"/>
    <w:rsid w:val="006B72FB"/>
    <w:rsid w:val="006C0440"/>
    <w:rsid w:val="006C174F"/>
    <w:rsid w:val="006C4425"/>
    <w:rsid w:val="006C4BC6"/>
    <w:rsid w:val="006C4C59"/>
    <w:rsid w:val="006E0E09"/>
    <w:rsid w:val="006F30FA"/>
    <w:rsid w:val="006F5F97"/>
    <w:rsid w:val="00715B04"/>
    <w:rsid w:val="007166E1"/>
    <w:rsid w:val="00721525"/>
    <w:rsid w:val="007268C4"/>
    <w:rsid w:val="007337AB"/>
    <w:rsid w:val="00735CD1"/>
    <w:rsid w:val="00754EC9"/>
    <w:rsid w:val="007573E6"/>
    <w:rsid w:val="007640A7"/>
    <w:rsid w:val="00770063"/>
    <w:rsid w:val="00790F26"/>
    <w:rsid w:val="00791AD4"/>
    <w:rsid w:val="007B21CB"/>
    <w:rsid w:val="007B27FE"/>
    <w:rsid w:val="007B294F"/>
    <w:rsid w:val="007B689F"/>
    <w:rsid w:val="007C0148"/>
    <w:rsid w:val="007C0E2F"/>
    <w:rsid w:val="007C2D59"/>
    <w:rsid w:val="007C6C3B"/>
    <w:rsid w:val="007D1835"/>
    <w:rsid w:val="007F0177"/>
    <w:rsid w:val="007F0E33"/>
    <w:rsid w:val="007F2384"/>
    <w:rsid w:val="0080514B"/>
    <w:rsid w:val="0081080A"/>
    <w:rsid w:val="008249BC"/>
    <w:rsid w:val="008278C8"/>
    <w:rsid w:val="00827D15"/>
    <w:rsid w:val="00833A49"/>
    <w:rsid w:val="00833A61"/>
    <w:rsid w:val="00833F77"/>
    <w:rsid w:val="00835727"/>
    <w:rsid w:val="0085113F"/>
    <w:rsid w:val="00855F77"/>
    <w:rsid w:val="00863C7F"/>
    <w:rsid w:val="00864CCC"/>
    <w:rsid w:val="00864F0E"/>
    <w:rsid w:val="0086501C"/>
    <w:rsid w:val="00866D62"/>
    <w:rsid w:val="008766BE"/>
    <w:rsid w:val="008809DD"/>
    <w:rsid w:val="00890266"/>
    <w:rsid w:val="0089161A"/>
    <w:rsid w:val="00892709"/>
    <w:rsid w:val="008936BE"/>
    <w:rsid w:val="00894982"/>
    <w:rsid w:val="008954BD"/>
    <w:rsid w:val="008C4319"/>
    <w:rsid w:val="008C5F15"/>
    <w:rsid w:val="008C716A"/>
    <w:rsid w:val="008C7649"/>
    <w:rsid w:val="008D1913"/>
    <w:rsid w:val="008D23F0"/>
    <w:rsid w:val="008D742A"/>
    <w:rsid w:val="008E1A1C"/>
    <w:rsid w:val="008F267C"/>
    <w:rsid w:val="008F291B"/>
    <w:rsid w:val="008F6D25"/>
    <w:rsid w:val="008F707F"/>
    <w:rsid w:val="00912EDD"/>
    <w:rsid w:val="0091427C"/>
    <w:rsid w:val="009161BE"/>
    <w:rsid w:val="00922ABD"/>
    <w:rsid w:val="009253D3"/>
    <w:rsid w:val="00930168"/>
    <w:rsid w:val="00930807"/>
    <w:rsid w:val="009318CC"/>
    <w:rsid w:val="00937489"/>
    <w:rsid w:val="00942CB9"/>
    <w:rsid w:val="00950B0B"/>
    <w:rsid w:val="00951CB4"/>
    <w:rsid w:val="00965698"/>
    <w:rsid w:val="00971CD2"/>
    <w:rsid w:val="00982BCD"/>
    <w:rsid w:val="00990B81"/>
    <w:rsid w:val="00994DC7"/>
    <w:rsid w:val="009A0450"/>
    <w:rsid w:val="009A077A"/>
    <w:rsid w:val="009A2A7E"/>
    <w:rsid w:val="009A4F1E"/>
    <w:rsid w:val="009A5507"/>
    <w:rsid w:val="009B07D5"/>
    <w:rsid w:val="009B4FDA"/>
    <w:rsid w:val="009B5D9A"/>
    <w:rsid w:val="009B6A2F"/>
    <w:rsid w:val="009C1BA7"/>
    <w:rsid w:val="009D7DBE"/>
    <w:rsid w:val="009E29E3"/>
    <w:rsid w:val="009E548E"/>
    <w:rsid w:val="009F3543"/>
    <w:rsid w:val="00A0436F"/>
    <w:rsid w:val="00A04B2C"/>
    <w:rsid w:val="00A234CE"/>
    <w:rsid w:val="00A27AC4"/>
    <w:rsid w:val="00A27F0D"/>
    <w:rsid w:val="00A32559"/>
    <w:rsid w:val="00A329B6"/>
    <w:rsid w:val="00A347E2"/>
    <w:rsid w:val="00A379BC"/>
    <w:rsid w:val="00A41E35"/>
    <w:rsid w:val="00A42BBA"/>
    <w:rsid w:val="00A471C7"/>
    <w:rsid w:val="00A4767F"/>
    <w:rsid w:val="00A645F3"/>
    <w:rsid w:val="00A65FC4"/>
    <w:rsid w:val="00A77E45"/>
    <w:rsid w:val="00A8245D"/>
    <w:rsid w:val="00A905D8"/>
    <w:rsid w:val="00AA29C7"/>
    <w:rsid w:val="00AB4554"/>
    <w:rsid w:val="00AC0F57"/>
    <w:rsid w:val="00AC13DB"/>
    <w:rsid w:val="00AE4602"/>
    <w:rsid w:val="00AE5B70"/>
    <w:rsid w:val="00AF1F13"/>
    <w:rsid w:val="00B029D2"/>
    <w:rsid w:val="00B030A9"/>
    <w:rsid w:val="00B0459D"/>
    <w:rsid w:val="00B065F8"/>
    <w:rsid w:val="00B10EFD"/>
    <w:rsid w:val="00B227E3"/>
    <w:rsid w:val="00B25791"/>
    <w:rsid w:val="00B323D5"/>
    <w:rsid w:val="00B409D6"/>
    <w:rsid w:val="00B6355B"/>
    <w:rsid w:val="00B66FDE"/>
    <w:rsid w:val="00B67147"/>
    <w:rsid w:val="00B67D42"/>
    <w:rsid w:val="00B82165"/>
    <w:rsid w:val="00B862E7"/>
    <w:rsid w:val="00B96EE9"/>
    <w:rsid w:val="00BA6CE3"/>
    <w:rsid w:val="00BB35FE"/>
    <w:rsid w:val="00BB4F34"/>
    <w:rsid w:val="00BC5901"/>
    <w:rsid w:val="00BD6142"/>
    <w:rsid w:val="00BD71F7"/>
    <w:rsid w:val="00BE40F3"/>
    <w:rsid w:val="00C06BA7"/>
    <w:rsid w:val="00C10E3D"/>
    <w:rsid w:val="00C15B2A"/>
    <w:rsid w:val="00C2066A"/>
    <w:rsid w:val="00C2782C"/>
    <w:rsid w:val="00C30A61"/>
    <w:rsid w:val="00C37196"/>
    <w:rsid w:val="00C42B5A"/>
    <w:rsid w:val="00C44D38"/>
    <w:rsid w:val="00C56422"/>
    <w:rsid w:val="00C63C3B"/>
    <w:rsid w:val="00C65162"/>
    <w:rsid w:val="00C746A4"/>
    <w:rsid w:val="00C818D4"/>
    <w:rsid w:val="00C8237E"/>
    <w:rsid w:val="00C82755"/>
    <w:rsid w:val="00C84296"/>
    <w:rsid w:val="00CB1788"/>
    <w:rsid w:val="00CB1C87"/>
    <w:rsid w:val="00CC485B"/>
    <w:rsid w:val="00CC68B2"/>
    <w:rsid w:val="00CC707F"/>
    <w:rsid w:val="00CD0879"/>
    <w:rsid w:val="00CD3EC1"/>
    <w:rsid w:val="00CE4E6A"/>
    <w:rsid w:val="00CE52AF"/>
    <w:rsid w:val="00CE59E0"/>
    <w:rsid w:val="00CE668F"/>
    <w:rsid w:val="00CF2708"/>
    <w:rsid w:val="00CF5C02"/>
    <w:rsid w:val="00D023CD"/>
    <w:rsid w:val="00D03A4E"/>
    <w:rsid w:val="00D04163"/>
    <w:rsid w:val="00D075DB"/>
    <w:rsid w:val="00D15A6E"/>
    <w:rsid w:val="00D21F72"/>
    <w:rsid w:val="00D357ED"/>
    <w:rsid w:val="00D35FEA"/>
    <w:rsid w:val="00D44783"/>
    <w:rsid w:val="00D47558"/>
    <w:rsid w:val="00D63DAD"/>
    <w:rsid w:val="00D660A1"/>
    <w:rsid w:val="00D71734"/>
    <w:rsid w:val="00D83220"/>
    <w:rsid w:val="00D91E61"/>
    <w:rsid w:val="00DA02B2"/>
    <w:rsid w:val="00DA1611"/>
    <w:rsid w:val="00DB21BB"/>
    <w:rsid w:val="00DC07DF"/>
    <w:rsid w:val="00DC20A9"/>
    <w:rsid w:val="00DD14B8"/>
    <w:rsid w:val="00DD244E"/>
    <w:rsid w:val="00DE72C7"/>
    <w:rsid w:val="00DE76B1"/>
    <w:rsid w:val="00DF00D2"/>
    <w:rsid w:val="00DF3D2B"/>
    <w:rsid w:val="00DF4174"/>
    <w:rsid w:val="00E01E5F"/>
    <w:rsid w:val="00E03199"/>
    <w:rsid w:val="00E049A0"/>
    <w:rsid w:val="00E04DB6"/>
    <w:rsid w:val="00E07723"/>
    <w:rsid w:val="00E1178D"/>
    <w:rsid w:val="00E160F9"/>
    <w:rsid w:val="00E23EB3"/>
    <w:rsid w:val="00E26EA8"/>
    <w:rsid w:val="00E35CAC"/>
    <w:rsid w:val="00E4034C"/>
    <w:rsid w:val="00E42665"/>
    <w:rsid w:val="00E43208"/>
    <w:rsid w:val="00E478B5"/>
    <w:rsid w:val="00E51D40"/>
    <w:rsid w:val="00E56BCE"/>
    <w:rsid w:val="00E57C90"/>
    <w:rsid w:val="00E60598"/>
    <w:rsid w:val="00E63EBF"/>
    <w:rsid w:val="00E64D10"/>
    <w:rsid w:val="00E700E2"/>
    <w:rsid w:val="00E80D28"/>
    <w:rsid w:val="00E86993"/>
    <w:rsid w:val="00E95F3B"/>
    <w:rsid w:val="00E966C2"/>
    <w:rsid w:val="00EA257D"/>
    <w:rsid w:val="00EA470E"/>
    <w:rsid w:val="00EA5CCF"/>
    <w:rsid w:val="00EA7F7C"/>
    <w:rsid w:val="00EB7CEF"/>
    <w:rsid w:val="00EB7DB3"/>
    <w:rsid w:val="00EC584F"/>
    <w:rsid w:val="00EC6DB9"/>
    <w:rsid w:val="00ED7929"/>
    <w:rsid w:val="00EE2507"/>
    <w:rsid w:val="00EF178F"/>
    <w:rsid w:val="00EF7184"/>
    <w:rsid w:val="00F069FD"/>
    <w:rsid w:val="00F277EE"/>
    <w:rsid w:val="00F326FD"/>
    <w:rsid w:val="00F36AA4"/>
    <w:rsid w:val="00F36E82"/>
    <w:rsid w:val="00F40F33"/>
    <w:rsid w:val="00F42ADF"/>
    <w:rsid w:val="00F4468D"/>
    <w:rsid w:val="00F51A65"/>
    <w:rsid w:val="00F5328D"/>
    <w:rsid w:val="00F63015"/>
    <w:rsid w:val="00F63693"/>
    <w:rsid w:val="00F66F63"/>
    <w:rsid w:val="00F67218"/>
    <w:rsid w:val="00F77DAA"/>
    <w:rsid w:val="00F82439"/>
    <w:rsid w:val="00F872BE"/>
    <w:rsid w:val="00F873CA"/>
    <w:rsid w:val="00F87D0F"/>
    <w:rsid w:val="00F93488"/>
    <w:rsid w:val="00F94907"/>
    <w:rsid w:val="00FA13D0"/>
    <w:rsid w:val="00FD0A2A"/>
    <w:rsid w:val="00FD40FA"/>
    <w:rsid w:val="00FD4D3F"/>
    <w:rsid w:val="00FD55B7"/>
    <w:rsid w:val="00FD61CF"/>
    <w:rsid w:val="00FD6701"/>
    <w:rsid w:val="00FE7F1E"/>
    <w:rsid w:val="00FF2A50"/>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 w:type="paragraph" w:styleId="CommentSubject">
    <w:name w:val="annotation subject"/>
    <w:basedOn w:val="CommentText"/>
    <w:next w:val="CommentText"/>
    <w:link w:val="CommentSubjectChar"/>
    <w:uiPriority w:val="99"/>
    <w:semiHidden/>
    <w:unhideWhenUsed/>
    <w:rsid w:val="008C5F15"/>
    <w:rPr>
      <w:b/>
      <w:bCs/>
    </w:rPr>
  </w:style>
  <w:style w:type="character" w:customStyle="1" w:styleId="CommentSubjectChar">
    <w:name w:val="Comment Subject Char"/>
    <w:basedOn w:val="CommentTextChar"/>
    <w:link w:val="CommentSubject"/>
    <w:uiPriority w:val="99"/>
    <w:semiHidden/>
    <w:rsid w:val="008C5F15"/>
    <w:rPr>
      <w:b/>
      <w:bCs/>
    </w:r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E288-B3E9-47F3-BF0D-B463206E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dcterms:created xsi:type="dcterms:W3CDTF">2010-10-21T17:11:00Z</dcterms:created>
  <dcterms:modified xsi:type="dcterms:W3CDTF">2010-10-21T17:11:00Z</dcterms:modified>
</cp:coreProperties>
</file>