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BF724B"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AE6D36" w:rsidP="00595C61">
      <w:pPr>
        <w:tabs>
          <w:tab w:val="left" w:pos="1980"/>
        </w:tabs>
        <w:jc w:val="center"/>
        <w:rPr>
          <w:b/>
          <w:bCs/>
          <w:color w:val="0000FF"/>
        </w:rPr>
      </w:pPr>
      <w:r>
        <w:rPr>
          <w:b/>
          <w:bCs/>
          <w:color w:val="0000FF"/>
        </w:rPr>
        <w:t xml:space="preserve">January </w:t>
      </w:r>
      <w:r w:rsidR="00BE367E">
        <w:rPr>
          <w:b/>
          <w:bCs/>
          <w:color w:val="0000FF"/>
        </w:rPr>
        <w:t>18</w:t>
      </w:r>
      <w:r>
        <w:rPr>
          <w:b/>
          <w:bCs/>
          <w:color w:val="0000FF"/>
        </w:rPr>
        <w:t>, 2011, 10:00a.m. -12:00 p</w:t>
      </w:r>
      <w:r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AE6D36" w:rsidRDefault="00C07464" w:rsidP="000F5C6F">
            <w:pPr>
              <w:rPr>
                <w:sz w:val="20"/>
                <w:szCs w:val="20"/>
              </w:rPr>
            </w:pPr>
            <w:r>
              <w:rPr>
                <w:sz w:val="20"/>
                <w:szCs w:val="20"/>
              </w:rPr>
              <w:t>Elisabeth Leonard, Bob McMahan, Brian Railsback, Perry Schoon, Scott Higgins, Robert Kehrberg, Louis Buck, Carol Burton, Beth Lofquist, Marie Huff, Wendy Ford, Regis Gilman</w:t>
            </w:r>
            <w:r w:rsidR="000D5C28">
              <w:rPr>
                <w:sz w:val="20"/>
                <w:szCs w:val="20"/>
              </w:rPr>
              <w:t>, Linda Seestedt-Stanford</w:t>
            </w:r>
          </w:p>
          <w:p w:rsidR="00C07464" w:rsidRPr="009B07D5" w:rsidRDefault="00C07464" w:rsidP="000F5C6F">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Pr>
                <w:b/>
                <w:color w:val="0000FF"/>
                <w:sz w:val="20"/>
                <w:szCs w:val="20"/>
              </w:rPr>
              <w:t>Guests</w:t>
            </w:r>
          </w:p>
        </w:tc>
        <w:tc>
          <w:tcPr>
            <w:tcW w:w="6768" w:type="dxa"/>
          </w:tcPr>
          <w:p w:rsidR="00AE6D36" w:rsidRPr="009B07D5" w:rsidRDefault="00AE6D36" w:rsidP="000F5C6F">
            <w:pPr>
              <w:tabs>
                <w:tab w:val="right" w:pos="480"/>
                <w:tab w:val="left" w:pos="720"/>
              </w:tabs>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p>
    <w:p w:rsidR="00AE6D36" w:rsidRDefault="00AE6D36" w:rsidP="00595C61"/>
    <w:p w:rsidR="00AE6D36" w:rsidRDefault="00AE6D36" w:rsidP="00595C61">
      <w:pPr>
        <w:rPr>
          <w:b/>
          <w:color w:val="0000FF"/>
          <w:sz w:val="20"/>
          <w:szCs w:val="20"/>
        </w:rPr>
      </w:pPr>
      <w:r>
        <w:rPr>
          <w:b/>
          <w:color w:val="0000FF"/>
          <w:sz w:val="20"/>
          <w:szCs w:val="20"/>
        </w:rPr>
        <w:t>DEAN’S ROUNDTABLE</w:t>
      </w:r>
    </w:p>
    <w:p w:rsidR="00AE6D36" w:rsidRPr="005E407F" w:rsidRDefault="00AE6D36" w:rsidP="00595C61">
      <w:pPr>
        <w:rPr>
          <w:sz w:val="20"/>
          <w:szCs w:val="20"/>
        </w:rPr>
      </w:pPr>
      <w:r>
        <w:rPr>
          <w:sz w:val="20"/>
          <w:szCs w:val="20"/>
        </w:rPr>
        <w:t>There are no items.</w:t>
      </w:r>
    </w:p>
    <w:p w:rsidR="00AE6D36" w:rsidRDefault="00AE6D36"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C07464" w:rsidRDefault="00C07464" w:rsidP="00E478B5">
            <w:pPr>
              <w:rPr>
                <w:b/>
                <w:color w:val="0000FF"/>
                <w:sz w:val="20"/>
                <w:szCs w:val="20"/>
              </w:rPr>
            </w:pPr>
            <w:r>
              <w:rPr>
                <w:b/>
                <w:color w:val="0000FF"/>
                <w:sz w:val="20"/>
                <w:szCs w:val="20"/>
              </w:rPr>
              <w:t>Commencement Re-visioning</w:t>
            </w:r>
          </w:p>
          <w:p w:rsidR="00AE6D36" w:rsidRPr="00982BCD" w:rsidRDefault="00C07464" w:rsidP="00E478B5">
            <w:pPr>
              <w:rPr>
                <w:b/>
                <w:color w:val="0000FF"/>
                <w:sz w:val="20"/>
                <w:szCs w:val="20"/>
              </w:rPr>
            </w:pPr>
            <w:r>
              <w:rPr>
                <w:b/>
                <w:color w:val="0000FF"/>
                <w:sz w:val="20"/>
                <w:szCs w:val="20"/>
              </w:rPr>
              <w:t xml:space="preserve"> (Brian Railsback)</w:t>
            </w:r>
          </w:p>
        </w:tc>
        <w:tc>
          <w:tcPr>
            <w:tcW w:w="6768" w:type="dxa"/>
          </w:tcPr>
          <w:p w:rsidR="00C07464" w:rsidRDefault="00C07464" w:rsidP="00C07464">
            <w:pPr>
              <w:tabs>
                <w:tab w:val="right" w:pos="480"/>
                <w:tab w:val="left" w:pos="1080"/>
                <w:tab w:val="left" w:leader="dot" w:pos="7380"/>
                <w:tab w:val="left" w:pos="7560"/>
              </w:tabs>
              <w:rPr>
                <w:bCs/>
                <w:sz w:val="20"/>
                <w:szCs w:val="20"/>
              </w:rPr>
            </w:pPr>
            <w:r>
              <w:rPr>
                <w:bCs/>
                <w:sz w:val="20"/>
                <w:szCs w:val="20"/>
              </w:rPr>
              <w:t>Brian reviewed the handout with COD.  The deans shared graduation experiences at other institutions. Discussion ensued.  Brian will send the revised document based on the deans feedback and bring it back to COD for one final review.</w:t>
            </w:r>
          </w:p>
          <w:p w:rsidR="00AE6D36" w:rsidRPr="00B8571F" w:rsidRDefault="00AE6D36" w:rsidP="00221800">
            <w:pPr>
              <w:rPr>
                <w:sz w:val="20"/>
                <w:szCs w:val="20"/>
              </w:rPr>
            </w:pPr>
          </w:p>
        </w:tc>
      </w:tr>
      <w:tr w:rsidR="00AE6D36" w:rsidTr="009B07D5">
        <w:tc>
          <w:tcPr>
            <w:tcW w:w="2088" w:type="dxa"/>
          </w:tcPr>
          <w:p w:rsidR="00AE6D36" w:rsidRDefault="0099486E" w:rsidP="00A9183F">
            <w:pPr>
              <w:rPr>
                <w:b/>
                <w:color w:val="0000FF"/>
                <w:sz w:val="20"/>
                <w:szCs w:val="20"/>
              </w:rPr>
            </w:pPr>
            <w:r>
              <w:rPr>
                <w:b/>
                <w:color w:val="0000FF"/>
                <w:sz w:val="20"/>
                <w:szCs w:val="20"/>
              </w:rPr>
              <w:t xml:space="preserve">QEP Process </w:t>
            </w:r>
          </w:p>
          <w:p w:rsidR="0099486E" w:rsidRDefault="0099486E" w:rsidP="00A9183F">
            <w:pPr>
              <w:rPr>
                <w:b/>
                <w:color w:val="0000FF"/>
                <w:sz w:val="20"/>
                <w:szCs w:val="20"/>
              </w:rPr>
            </w:pPr>
            <w:r>
              <w:rPr>
                <w:b/>
                <w:color w:val="0000FF"/>
                <w:sz w:val="20"/>
                <w:szCs w:val="20"/>
              </w:rPr>
              <w:t>(Linda Stanford)</w:t>
            </w:r>
          </w:p>
          <w:p w:rsidR="0099486E" w:rsidRPr="0086501C" w:rsidRDefault="0099486E" w:rsidP="00A9183F">
            <w:pPr>
              <w:rPr>
                <w:b/>
                <w:color w:val="0000FF"/>
                <w:sz w:val="20"/>
                <w:szCs w:val="20"/>
              </w:rPr>
            </w:pPr>
          </w:p>
        </w:tc>
        <w:tc>
          <w:tcPr>
            <w:tcW w:w="6768" w:type="dxa"/>
          </w:tcPr>
          <w:p w:rsidR="00AE6D36" w:rsidRPr="0099486E" w:rsidRDefault="0099486E" w:rsidP="00E700E2">
            <w:pPr>
              <w:tabs>
                <w:tab w:val="right" w:pos="480"/>
                <w:tab w:val="left" w:pos="1080"/>
                <w:tab w:val="left" w:leader="dot" w:pos="7380"/>
                <w:tab w:val="left" w:pos="7560"/>
              </w:tabs>
              <w:rPr>
                <w:sz w:val="20"/>
                <w:szCs w:val="20"/>
              </w:rPr>
            </w:pPr>
            <w:r>
              <w:rPr>
                <w:sz w:val="20"/>
                <w:szCs w:val="20"/>
              </w:rPr>
              <w:t>This item is postponed.</w:t>
            </w:r>
          </w:p>
        </w:tc>
      </w:tr>
      <w:tr w:rsidR="00AE6D36" w:rsidTr="009B07D5">
        <w:tc>
          <w:tcPr>
            <w:tcW w:w="2088" w:type="dxa"/>
          </w:tcPr>
          <w:p w:rsidR="00AE6D36" w:rsidRDefault="0099486E" w:rsidP="007C028E">
            <w:pPr>
              <w:rPr>
                <w:b/>
                <w:color w:val="0000FF"/>
                <w:sz w:val="20"/>
                <w:szCs w:val="20"/>
              </w:rPr>
            </w:pPr>
            <w:r>
              <w:rPr>
                <w:b/>
                <w:color w:val="0000FF"/>
                <w:sz w:val="20"/>
                <w:szCs w:val="20"/>
              </w:rPr>
              <w:t>Four Year Graduation Rates</w:t>
            </w:r>
          </w:p>
          <w:p w:rsidR="0099486E" w:rsidRDefault="0099486E" w:rsidP="007C028E">
            <w:pPr>
              <w:rPr>
                <w:b/>
                <w:color w:val="0000FF"/>
                <w:sz w:val="20"/>
                <w:szCs w:val="20"/>
              </w:rPr>
            </w:pPr>
            <w:r>
              <w:rPr>
                <w:b/>
                <w:color w:val="0000FF"/>
                <w:sz w:val="20"/>
                <w:szCs w:val="20"/>
              </w:rPr>
              <w:t>(Linda Stanford)</w:t>
            </w:r>
          </w:p>
          <w:p w:rsidR="0099486E" w:rsidRPr="007C028E" w:rsidRDefault="0099486E" w:rsidP="007C028E">
            <w:pPr>
              <w:rPr>
                <w:b/>
                <w:color w:val="0000FF"/>
                <w:sz w:val="20"/>
                <w:szCs w:val="20"/>
              </w:rPr>
            </w:pPr>
          </w:p>
        </w:tc>
        <w:tc>
          <w:tcPr>
            <w:tcW w:w="6768" w:type="dxa"/>
          </w:tcPr>
          <w:p w:rsidR="00AE6D36" w:rsidRPr="00B862E7" w:rsidRDefault="0099486E" w:rsidP="00B862E7">
            <w:pPr>
              <w:rPr>
                <w:bCs/>
                <w:sz w:val="20"/>
                <w:szCs w:val="20"/>
              </w:rPr>
            </w:pPr>
            <w:r>
              <w:rPr>
                <w:bCs/>
                <w:sz w:val="20"/>
                <w:szCs w:val="20"/>
              </w:rPr>
              <w:t>This item is postponed.</w:t>
            </w:r>
          </w:p>
        </w:tc>
      </w:tr>
      <w:tr w:rsidR="00AE6D36" w:rsidTr="009B07D5">
        <w:tc>
          <w:tcPr>
            <w:tcW w:w="2088" w:type="dxa"/>
          </w:tcPr>
          <w:p w:rsidR="00AE6D36" w:rsidRPr="0031127C" w:rsidRDefault="0099486E" w:rsidP="0031127C">
            <w:pPr>
              <w:rPr>
                <w:b/>
                <w:color w:val="0000FF"/>
                <w:sz w:val="20"/>
                <w:szCs w:val="20"/>
              </w:rPr>
            </w:pPr>
            <w:r>
              <w:rPr>
                <w:b/>
                <w:color w:val="0000FF"/>
                <w:sz w:val="20"/>
                <w:szCs w:val="20"/>
              </w:rPr>
              <w:t>LEAP (Carol Burton)</w:t>
            </w:r>
          </w:p>
        </w:tc>
        <w:tc>
          <w:tcPr>
            <w:tcW w:w="6768" w:type="dxa"/>
          </w:tcPr>
          <w:p w:rsidR="00AE6D36" w:rsidRDefault="0099486E" w:rsidP="006F034B">
            <w:pPr>
              <w:pStyle w:val="ListParagraph"/>
              <w:tabs>
                <w:tab w:val="right" w:pos="480"/>
                <w:tab w:val="left" w:leader="dot" w:pos="7380"/>
                <w:tab w:val="left" w:pos="7560"/>
              </w:tabs>
              <w:ind w:left="0"/>
              <w:rPr>
                <w:bCs/>
                <w:sz w:val="20"/>
                <w:szCs w:val="20"/>
              </w:rPr>
            </w:pPr>
            <w:r>
              <w:rPr>
                <w:bCs/>
                <w:sz w:val="20"/>
                <w:szCs w:val="20"/>
              </w:rPr>
              <w:t>For the last three years we have been talking about ten high impact educational practices (Carol distributed handout).  The handout is from LEAP, most all are embedded in our QEP.  Carol reviewed the handout with COD.</w:t>
            </w:r>
          </w:p>
          <w:p w:rsidR="0099486E" w:rsidRDefault="0099486E" w:rsidP="006F034B">
            <w:pPr>
              <w:pStyle w:val="ListParagraph"/>
              <w:tabs>
                <w:tab w:val="right" w:pos="480"/>
                <w:tab w:val="left" w:leader="dot" w:pos="7380"/>
                <w:tab w:val="left" w:pos="7560"/>
              </w:tabs>
              <w:ind w:left="0"/>
              <w:rPr>
                <w:bCs/>
                <w:sz w:val="20"/>
                <w:szCs w:val="20"/>
              </w:rPr>
            </w:pPr>
          </w:p>
          <w:p w:rsidR="0099486E" w:rsidRDefault="0099486E" w:rsidP="006F034B">
            <w:pPr>
              <w:pStyle w:val="ListParagraph"/>
              <w:tabs>
                <w:tab w:val="right" w:pos="480"/>
                <w:tab w:val="left" w:leader="dot" w:pos="7380"/>
                <w:tab w:val="left" w:pos="7560"/>
              </w:tabs>
              <w:ind w:left="0"/>
              <w:rPr>
                <w:bCs/>
                <w:sz w:val="20"/>
                <w:szCs w:val="20"/>
              </w:rPr>
            </w:pPr>
            <w:r>
              <w:rPr>
                <w:bCs/>
                <w:sz w:val="20"/>
                <w:szCs w:val="20"/>
              </w:rPr>
              <w:t xml:space="preserve">Carol distributed the current liberal studies program (master list of all courses) to utilize in our discussion on Friday.  Carol said 80-85% </w:t>
            </w:r>
            <w:proofErr w:type="gramStart"/>
            <w:r>
              <w:rPr>
                <w:bCs/>
                <w:sz w:val="20"/>
                <w:szCs w:val="20"/>
              </w:rPr>
              <w:t>are</w:t>
            </w:r>
            <w:proofErr w:type="gramEnd"/>
            <w:r>
              <w:rPr>
                <w:bCs/>
                <w:sz w:val="20"/>
                <w:szCs w:val="20"/>
              </w:rPr>
              <w:t xml:space="preserve"> active, but not every semester.  This is the master list – everything</w:t>
            </w:r>
            <w:r w:rsidR="000D5C28">
              <w:rPr>
                <w:bCs/>
                <w:sz w:val="20"/>
                <w:szCs w:val="20"/>
              </w:rPr>
              <w:t xml:space="preserve"> on it has been</w:t>
            </w:r>
            <w:r>
              <w:rPr>
                <w:bCs/>
                <w:sz w:val="20"/>
                <w:szCs w:val="20"/>
              </w:rPr>
              <w:t xml:space="preserve"> approved</w:t>
            </w:r>
            <w:r w:rsidR="000D5C28">
              <w:rPr>
                <w:bCs/>
                <w:sz w:val="20"/>
                <w:szCs w:val="20"/>
              </w:rPr>
              <w:t xml:space="preserve"> as a liberal studies course</w:t>
            </w:r>
            <w:r>
              <w:rPr>
                <w:bCs/>
                <w:sz w:val="20"/>
                <w:szCs w:val="20"/>
              </w:rPr>
              <w:t>.</w:t>
            </w:r>
          </w:p>
          <w:p w:rsidR="0099486E" w:rsidRDefault="0099486E" w:rsidP="006F034B">
            <w:pPr>
              <w:pStyle w:val="ListParagraph"/>
              <w:tabs>
                <w:tab w:val="right" w:pos="480"/>
                <w:tab w:val="left" w:leader="dot" w:pos="7380"/>
                <w:tab w:val="left" w:pos="7560"/>
              </w:tabs>
              <w:ind w:left="0"/>
              <w:rPr>
                <w:bCs/>
                <w:sz w:val="20"/>
                <w:szCs w:val="20"/>
              </w:rPr>
            </w:pPr>
          </w:p>
          <w:p w:rsidR="0099486E" w:rsidRDefault="0099486E" w:rsidP="0099486E">
            <w:pPr>
              <w:tabs>
                <w:tab w:val="right" w:pos="480"/>
                <w:tab w:val="left" w:pos="1080"/>
                <w:tab w:val="left" w:leader="dot" w:pos="7380"/>
                <w:tab w:val="left" w:pos="7560"/>
              </w:tabs>
              <w:rPr>
                <w:bCs/>
                <w:sz w:val="20"/>
                <w:szCs w:val="20"/>
              </w:rPr>
            </w:pPr>
            <w:r>
              <w:rPr>
                <w:bCs/>
                <w:sz w:val="20"/>
                <w:szCs w:val="20"/>
              </w:rPr>
              <w:t>On Friday, Carol will bring those courses currently being offered this semester.  If you see an error on this list, please let Carol know so it can be deleted off the master list.</w:t>
            </w:r>
          </w:p>
          <w:p w:rsidR="0099486E" w:rsidRPr="008C7649" w:rsidRDefault="0099486E" w:rsidP="006F034B">
            <w:pPr>
              <w:pStyle w:val="ListParagraph"/>
              <w:tabs>
                <w:tab w:val="right" w:pos="480"/>
                <w:tab w:val="left" w:leader="dot" w:pos="7380"/>
                <w:tab w:val="left" w:pos="7560"/>
              </w:tabs>
              <w:ind w:left="0"/>
              <w:rPr>
                <w:sz w:val="20"/>
                <w:szCs w:val="20"/>
              </w:rPr>
            </w:pPr>
          </w:p>
        </w:tc>
      </w:tr>
      <w:tr w:rsidR="00AE6D36" w:rsidTr="009B07D5">
        <w:tc>
          <w:tcPr>
            <w:tcW w:w="2088" w:type="dxa"/>
          </w:tcPr>
          <w:p w:rsidR="00AE6D36" w:rsidRPr="0099486E" w:rsidRDefault="0099486E" w:rsidP="0099486E">
            <w:pPr>
              <w:rPr>
                <w:b/>
                <w:color w:val="0000FF"/>
                <w:sz w:val="20"/>
                <w:szCs w:val="20"/>
              </w:rPr>
            </w:pPr>
            <w:r>
              <w:rPr>
                <w:b/>
                <w:color w:val="0000FF"/>
                <w:sz w:val="20"/>
                <w:szCs w:val="20"/>
              </w:rPr>
              <w:t xml:space="preserve">Timely Notice and Faculty Contracts </w:t>
            </w:r>
          </w:p>
        </w:tc>
        <w:tc>
          <w:tcPr>
            <w:tcW w:w="6768" w:type="dxa"/>
          </w:tcPr>
          <w:p w:rsidR="00804F67" w:rsidRDefault="00804F67" w:rsidP="00804F67">
            <w:pPr>
              <w:tabs>
                <w:tab w:val="right" w:pos="480"/>
                <w:tab w:val="left" w:pos="1080"/>
                <w:tab w:val="left" w:leader="dot" w:pos="7380"/>
                <w:tab w:val="left" w:pos="7560"/>
              </w:tabs>
              <w:rPr>
                <w:bCs/>
                <w:sz w:val="20"/>
                <w:szCs w:val="20"/>
              </w:rPr>
            </w:pPr>
            <w:r>
              <w:rPr>
                <w:bCs/>
                <w:sz w:val="20"/>
                <w:szCs w:val="20"/>
              </w:rPr>
              <w:t>B eth met with the Collegial Review Council regarding this topic and they agreed.  The deadline for timely notice for this year only has to be backed up – 1</w:t>
            </w:r>
            <w:r w:rsidRPr="005619EA">
              <w:rPr>
                <w:bCs/>
                <w:sz w:val="20"/>
                <w:szCs w:val="20"/>
                <w:vertAlign w:val="superscript"/>
              </w:rPr>
              <w:t>st</w:t>
            </w:r>
            <w:r>
              <w:rPr>
                <w:bCs/>
                <w:sz w:val="20"/>
                <w:szCs w:val="20"/>
              </w:rPr>
              <w:t xml:space="preserve"> </w:t>
            </w:r>
            <w:r>
              <w:rPr>
                <w:bCs/>
                <w:sz w:val="20"/>
                <w:szCs w:val="20"/>
              </w:rPr>
              <w:lastRenderedPageBreak/>
              <w:t xml:space="preserve">year needs 90 days timely notice or we are required to give them fall semester.  Beth reviewed the hand out with COD. There will now be included a date when the individual faculty will go up for tenure on faculty contracts that stipulates June 30 as the contract end date in reference to timely notice only..  </w:t>
            </w:r>
          </w:p>
          <w:p w:rsidR="00804F67" w:rsidRDefault="00804F67" w:rsidP="00804F67">
            <w:pPr>
              <w:tabs>
                <w:tab w:val="right" w:pos="480"/>
                <w:tab w:val="left" w:pos="1080"/>
                <w:tab w:val="left" w:leader="dot" w:pos="7380"/>
                <w:tab w:val="left" w:pos="7560"/>
              </w:tabs>
              <w:rPr>
                <w:bCs/>
                <w:sz w:val="20"/>
                <w:szCs w:val="20"/>
              </w:rPr>
            </w:pPr>
          </w:p>
          <w:p w:rsidR="00804F67" w:rsidRPr="00AE6385" w:rsidRDefault="00804F67" w:rsidP="00804F67">
            <w:pPr>
              <w:tabs>
                <w:tab w:val="right" w:pos="480"/>
                <w:tab w:val="left" w:pos="1080"/>
                <w:tab w:val="left" w:leader="dot" w:pos="7380"/>
                <w:tab w:val="left" w:pos="7560"/>
              </w:tabs>
              <w:rPr>
                <w:bCs/>
                <w:sz w:val="20"/>
                <w:szCs w:val="20"/>
              </w:rPr>
            </w:pPr>
            <w:r>
              <w:rPr>
                <w:bCs/>
                <w:sz w:val="20"/>
                <w:szCs w:val="20"/>
              </w:rPr>
              <w:t>We need to verify with Human Resources – do we have to give a 12 month notice to a fixed term faculty that has been here more than two years.  The language in most fixed term contracts stipulates that the contract dates also serve as timely notice.</w:t>
            </w:r>
          </w:p>
          <w:p w:rsidR="0099486E" w:rsidRDefault="0099486E" w:rsidP="00804F67">
            <w:pPr>
              <w:tabs>
                <w:tab w:val="right" w:pos="480"/>
                <w:tab w:val="left" w:pos="1080"/>
                <w:tab w:val="left" w:leader="dot" w:pos="7380"/>
                <w:tab w:val="left" w:pos="7560"/>
              </w:tabs>
              <w:rPr>
                <w:bCs/>
                <w:sz w:val="20"/>
                <w:szCs w:val="20"/>
              </w:rPr>
            </w:pPr>
          </w:p>
        </w:tc>
      </w:tr>
    </w:tbl>
    <w:p w:rsidR="00AE6D36" w:rsidRDefault="00AE6D36" w:rsidP="00595C61">
      <w:pPr>
        <w:rPr>
          <w:b/>
          <w:color w:val="0000FF"/>
          <w:sz w:val="20"/>
          <w:szCs w:val="20"/>
        </w:rPr>
      </w:pPr>
    </w:p>
    <w:p w:rsidR="00AE6D36" w:rsidRDefault="00AE6D36" w:rsidP="00595C61">
      <w:pPr>
        <w:rPr>
          <w:b/>
          <w:color w:val="0000FF"/>
          <w:sz w:val="20"/>
          <w:szCs w:val="20"/>
        </w:rPr>
      </w:pPr>
      <w:r>
        <w:rPr>
          <w:b/>
          <w:color w:val="0000FF"/>
          <w:sz w:val="20"/>
          <w:szCs w:val="20"/>
        </w:rPr>
        <w:t>PROVOST UPDATES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6768"/>
      </w:tblGrid>
      <w:tr w:rsidR="00AE6D36" w:rsidTr="00AD76D7">
        <w:tc>
          <w:tcPr>
            <w:tcW w:w="2088" w:type="dxa"/>
          </w:tcPr>
          <w:p w:rsidR="00AE6D36" w:rsidRPr="00AD76D7" w:rsidRDefault="00236FD7" w:rsidP="00595C61">
            <w:pPr>
              <w:rPr>
                <w:b/>
                <w:color w:val="0000FF"/>
                <w:sz w:val="20"/>
                <w:szCs w:val="20"/>
              </w:rPr>
            </w:pPr>
            <w:r>
              <w:rPr>
                <w:b/>
                <w:color w:val="0000FF"/>
                <w:sz w:val="20"/>
                <w:szCs w:val="20"/>
              </w:rPr>
              <w:t>Budget</w:t>
            </w:r>
          </w:p>
        </w:tc>
        <w:tc>
          <w:tcPr>
            <w:tcW w:w="6768" w:type="dxa"/>
          </w:tcPr>
          <w:p w:rsidR="00AE6D36" w:rsidRDefault="00236FD7" w:rsidP="00595C61">
            <w:pPr>
              <w:rPr>
                <w:bCs/>
                <w:sz w:val="20"/>
                <w:szCs w:val="20"/>
              </w:rPr>
            </w:pPr>
            <w:r>
              <w:rPr>
                <w:bCs/>
                <w:sz w:val="20"/>
                <w:szCs w:val="20"/>
              </w:rPr>
              <w:t>Linda is meeting with Executive Council tomorrow after which she will have more information.  We are in a challenging situation trying to determine where the reversion dollars will come from.  Lapsed salary dollars are not available.  We need to find an additional one million across campus.  4</w:t>
            </w:r>
            <w:r w:rsidR="000D5C28">
              <w:rPr>
                <w:bCs/>
                <w:sz w:val="20"/>
                <w:szCs w:val="20"/>
              </w:rPr>
              <w:t>XXX</w:t>
            </w:r>
            <w:r>
              <w:rPr>
                <w:bCs/>
                <w:sz w:val="20"/>
                <w:szCs w:val="20"/>
              </w:rPr>
              <w:t xml:space="preserve"> accounts will be cleared (equipment).  Across the Academic Affairs division there may be a 5 % recall of operating budgets.  Deans are spending well in all</w:t>
            </w:r>
            <w:r w:rsidR="007223CE">
              <w:rPr>
                <w:bCs/>
                <w:sz w:val="20"/>
                <w:szCs w:val="20"/>
              </w:rPr>
              <w:t xml:space="preserve"> accounts</w:t>
            </w:r>
            <w:r>
              <w:rPr>
                <w:bCs/>
                <w:sz w:val="20"/>
                <w:szCs w:val="20"/>
              </w:rPr>
              <w:t xml:space="preserve">.  </w:t>
            </w:r>
          </w:p>
          <w:p w:rsidR="00077943" w:rsidRDefault="00077943" w:rsidP="00595C61">
            <w:pPr>
              <w:rPr>
                <w:bCs/>
                <w:sz w:val="20"/>
                <w:szCs w:val="20"/>
              </w:rPr>
            </w:pPr>
          </w:p>
          <w:p w:rsidR="00077943" w:rsidRDefault="00077943" w:rsidP="00077943">
            <w:pPr>
              <w:tabs>
                <w:tab w:val="right" w:pos="480"/>
                <w:tab w:val="left" w:pos="720"/>
                <w:tab w:val="left" w:leader="dot" w:pos="7380"/>
                <w:tab w:val="left" w:pos="7560"/>
              </w:tabs>
              <w:rPr>
                <w:bCs/>
                <w:sz w:val="20"/>
                <w:szCs w:val="20"/>
              </w:rPr>
            </w:pPr>
            <w:r>
              <w:rPr>
                <w:bCs/>
                <w:sz w:val="20"/>
                <w:szCs w:val="20"/>
              </w:rPr>
              <w:t xml:space="preserve">We are going to recode some expenditures within the provost office and use those resources.  We are getting a lot of cooperation from Bobby Justice and Robert Edwards.  Furloughs are possible for our reversion – we have to develop a policy – legislature has given permission for universities to furlough if they have a policy in place.  We will have more information tomorrow.   </w:t>
            </w:r>
          </w:p>
          <w:p w:rsidR="00077943" w:rsidRDefault="00077943" w:rsidP="00595C61">
            <w:pPr>
              <w:rPr>
                <w:b/>
                <w:color w:val="0000FF"/>
                <w:sz w:val="20"/>
                <w:szCs w:val="20"/>
              </w:rPr>
            </w:pPr>
          </w:p>
          <w:p w:rsidR="00077943" w:rsidRDefault="00077943" w:rsidP="00077943">
            <w:pPr>
              <w:tabs>
                <w:tab w:val="right" w:pos="480"/>
                <w:tab w:val="left" w:pos="720"/>
                <w:tab w:val="left" w:leader="dot" w:pos="7380"/>
                <w:tab w:val="left" w:pos="7560"/>
              </w:tabs>
              <w:rPr>
                <w:bCs/>
                <w:sz w:val="20"/>
                <w:szCs w:val="20"/>
              </w:rPr>
            </w:pPr>
            <w:r>
              <w:rPr>
                <w:bCs/>
                <w:sz w:val="20"/>
                <w:szCs w:val="20"/>
              </w:rPr>
              <w:t>Currently we have 370 courses covered by adjunct</w:t>
            </w:r>
            <w:r w:rsidR="000D5C28">
              <w:rPr>
                <w:bCs/>
                <w:sz w:val="20"/>
                <w:szCs w:val="20"/>
              </w:rPr>
              <w:t xml:space="preserve"> faculty</w:t>
            </w:r>
            <w:r>
              <w:rPr>
                <w:bCs/>
                <w:sz w:val="20"/>
                <w:szCs w:val="20"/>
              </w:rPr>
              <w:t xml:space="preserve">.  We have 65 </w:t>
            </w:r>
            <w:proofErr w:type="gramStart"/>
            <w:r>
              <w:rPr>
                <w:bCs/>
                <w:sz w:val="20"/>
                <w:szCs w:val="20"/>
              </w:rPr>
              <w:t>faculty</w:t>
            </w:r>
            <w:proofErr w:type="gramEnd"/>
            <w:r>
              <w:rPr>
                <w:bCs/>
                <w:sz w:val="20"/>
                <w:szCs w:val="20"/>
              </w:rPr>
              <w:t xml:space="preserve"> on one year fixed term contracts.  Wendy has 52 fixed term contacts all of which (even multi-year) will end this year with the exception of one.   </w:t>
            </w:r>
          </w:p>
          <w:p w:rsidR="00077943" w:rsidRDefault="00077943" w:rsidP="00595C61">
            <w:pPr>
              <w:rPr>
                <w:b/>
                <w:color w:val="0000FF"/>
                <w:sz w:val="20"/>
                <w:szCs w:val="20"/>
              </w:rPr>
            </w:pPr>
          </w:p>
          <w:p w:rsidR="00077943" w:rsidRDefault="000D5C28" w:rsidP="00077943">
            <w:pPr>
              <w:tabs>
                <w:tab w:val="right" w:pos="480"/>
                <w:tab w:val="left" w:pos="720"/>
                <w:tab w:val="left" w:leader="dot" w:pos="7380"/>
                <w:tab w:val="left" w:pos="7560"/>
              </w:tabs>
              <w:rPr>
                <w:bCs/>
                <w:sz w:val="20"/>
                <w:szCs w:val="20"/>
              </w:rPr>
            </w:pPr>
            <w:r>
              <w:rPr>
                <w:bCs/>
                <w:sz w:val="20"/>
                <w:szCs w:val="20"/>
              </w:rPr>
              <w:t>Extensive and multiple</w:t>
            </w:r>
            <w:r w:rsidR="00077943">
              <w:rPr>
                <w:bCs/>
                <w:sz w:val="20"/>
                <w:szCs w:val="20"/>
              </w:rPr>
              <w:t xml:space="preserve"> curriculum </w:t>
            </w:r>
            <w:r>
              <w:rPr>
                <w:bCs/>
                <w:sz w:val="20"/>
                <w:szCs w:val="20"/>
              </w:rPr>
              <w:t>changes are</w:t>
            </w:r>
            <w:r w:rsidR="00077943">
              <w:rPr>
                <w:bCs/>
                <w:sz w:val="20"/>
                <w:szCs w:val="20"/>
              </w:rPr>
              <w:t xml:space="preserve"> causing advising problems, etc.  Linda asked the deans to take a greater leadership role in their curriculum changes – constant changes are causing great disruption for the students and is impacting our graduation rates – which will be high on the radar.  Good advising is </w:t>
            </w:r>
            <w:proofErr w:type="gramStart"/>
            <w:r w:rsidR="00077943">
              <w:rPr>
                <w:bCs/>
                <w:sz w:val="20"/>
                <w:szCs w:val="20"/>
              </w:rPr>
              <w:t>key</w:t>
            </w:r>
            <w:proofErr w:type="gramEnd"/>
            <w:r w:rsidR="00077943">
              <w:rPr>
                <w:bCs/>
                <w:sz w:val="20"/>
                <w:szCs w:val="20"/>
              </w:rPr>
              <w:t xml:space="preserve"> to good graduation rates.  </w:t>
            </w:r>
          </w:p>
          <w:p w:rsidR="00077943" w:rsidRDefault="00077943" w:rsidP="00595C61">
            <w:pPr>
              <w:rPr>
                <w:b/>
                <w:color w:val="0000FF"/>
                <w:sz w:val="20"/>
                <w:szCs w:val="20"/>
              </w:rPr>
            </w:pPr>
          </w:p>
          <w:p w:rsidR="002B15AE" w:rsidRDefault="002B15AE" w:rsidP="002B15AE">
            <w:pPr>
              <w:tabs>
                <w:tab w:val="right" w:pos="480"/>
                <w:tab w:val="left" w:pos="720"/>
                <w:tab w:val="left" w:leader="dot" w:pos="7380"/>
                <w:tab w:val="left" w:pos="7560"/>
              </w:tabs>
              <w:rPr>
                <w:bCs/>
                <w:sz w:val="20"/>
                <w:szCs w:val="20"/>
              </w:rPr>
            </w:pPr>
            <w:r>
              <w:rPr>
                <w:bCs/>
                <w:sz w:val="20"/>
                <w:szCs w:val="20"/>
              </w:rPr>
              <w:t>One time reversion is due to GA by February 17 ($2.1 million – 2.5 % of state appropriated money).</w:t>
            </w:r>
          </w:p>
          <w:p w:rsidR="002B15AE" w:rsidRDefault="002B15AE" w:rsidP="00595C61">
            <w:pPr>
              <w:rPr>
                <w:b/>
                <w:color w:val="0000FF"/>
                <w:sz w:val="20"/>
                <w:szCs w:val="20"/>
              </w:rPr>
            </w:pPr>
          </w:p>
          <w:p w:rsidR="002B15AE" w:rsidRDefault="002B15AE" w:rsidP="002B15AE">
            <w:pPr>
              <w:tabs>
                <w:tab w:val="right" w:pos="480"/>
                <w:tab w:val="left" w:pos="720"/>
                <w:tab w:val="left" w:leader="dot" w:pos="7380"/>
                <w:tab w:val="left" w:pos="7560"/>
              </w:tabs>
              <w:rPr>
                <w:bCs/>
                <w:sz w:val="20"/>
                <w:szCs w:val="20"/>
              </w:rPr>
            </w:pPr>
            <w:r>
              <w:rPr>
                <w:bCs/>
                <w:sz w:val="20"/>
                <w:szCs w:val="20"/>
              </w:rPr>
              <w:t>State reduction dollars are due later in the semester ($4.3 million, $3 million from AA-5%).  The state has requested the UNC system look at an additional 5%.</w:t>
            </w:r>
          </w:p>
          <w:p w:rsidR="002B15AE" w:rsidRPr="00AD76D7" w:rsidRDefault="002B15AE" w:rsidP="00595C61">
            <w:pPr>
              <w:rPr>
                <w:b/>
                <w:color w:val="0000FF"/>
                <w:sz w:val="20"/>
                <w:szCs w:val="20"/>
              </w:rPr>
            </w:pPr>
          </w:p>
        </w:tc>
      </w:tr>
      <w:tr w:rsidR="00AE6D36" w:rsidTr="00AD76D7">
        <w:tc>
          <w:tcPr>
            <w:tcW w:w="2088" w:type="dxa"/>
          </w:tcPr>
          <w:p w:rsidR="00AE6D36" w:rsidRPr="00AD76D7" w:rsidRDefault="00876791" w:rsidP="00595C61">
            <w:pPr>
              <w:rPr>
                <w:b/>
                <w:color w:val="0000FF"/>
                <w:sz w:val="20"/>
                <w:szCs w:val="20"/>
              </w:rPr>
            </w:pPr>
            <w:r>
              <w:rPr>
                <w:b/>
                <w:color w:val="0000FF"/>
                <w:sz w:val="20"/>
                <w:szCs w:val="20"/>
              </w:rPr>
              <w:t>8 Semester Plans</w:t>
            </w:r>
          </w:p>
        </w:tc>
        <w:tc>
          <w:tcPr>
            <w:tcW w:w="6768" w:type="dxa"/>
          </w:tcPr>
          <w:p w:rsidR="00876791" w:rsidRDefault="00876791" w:rsidP="00595C61">
            <w:pPr>
              <w:rPr>
                <w:bCs/>
                <w:sz w:val="20"/>
                <w:szCs w:val="20"/>
              </w:rPr>
            </w:pPr>
            <w:r>
              <w:rPr>
                <w:bCs/>
                <w:sz w:val="20"/>
                <w:szCs w:val="20"/>
              </w:rPr>
              <w:t xml:space="preserve">We are not doing a good job of getting 8 semester plans completed.  It is supposed to be a plan of action, a map for students. If they start with a major when they come in and follow the plan they will be successful and graduate on time.  </w:t>
            </w:r>
          </w:p>
          <w:p w:rsidR="00876791" w:rsidRDefault="00876791" w:rsidP="00595C61">
            <w:pPr>
              <w:rPr>
                <w:bCs/>
                <w:sz w:val="20"/>
                <w:szCs w:val="20"/>
              </w:rPr>
            </w:pPr>
          </w:p>
          <w:p w:rsidR="00AE6D36" w:rsidRDefault="00876791" w:rsidP="00595C61">
            <w:pPr>
              <w:rPr>
                <w:bCs/>
                <w:sz w:val="20"/>
                <w:szCs w:val="20"/>
              </w:rPr>
            </w:pPr>
            <w:r>
              <w:rPr>
                <w:bCs/>
                <w:sz w:val="20"/>
                <w:szCs w:val="20"/>
              </w:rPr>
              <w:t xml:space="preserve">When the curriculum is changed it causes problems with the 8 semester plans especially since they are not updated.  They are no longer in the catalog but hosted on a website – when pulled from the catalog, departments took ownership to keep this updated.  </w:t>
            </w:r>
          </w:p>
          <w:p w:rsidR="00876791" w:rsidRDefault="00876791" w:rsidP="00595C61">
            <w:pPr>
              <w:rPr>
                <w:bCs/>
                <w:sz w:val="20"/>
                <w:szCs w:val="20"/>
              </w:rPr>
            </w:pPr>
          </w:p>
          <w:p w:rsidR="00804F67" w:rsidRDefault="00876791" w:rsidP="00804F67">
            <w:pPr>
              <w:tabs>
                <w:tab w:val="right" w:pos="480"/>
                <w:tab w:val="left" w:pos="720"/>
                <w:tab w:val="left" w:leader="dot" w:pos="7380"/>
                <w:tab w:val="left" w:pos="7560"/>
              </w:tabs>
              <w:rPr>
                <w:bCs/>
                <w:sz w:val="20"/>
                <w:szCs w:val="20"/>
              </w:rPr>
            </w:pPr>
            <w:r>
              <w:rPr>
                <w:bCs/>
                <w:sz w:val="20"/>
                <w:szCs w:val="20"/>
              </w:rPr>
              <w:t xml:space="preserve">Fred sends out a notice as to when they must be updated – this has become a department/college function.  The degree audit still follows the catalog year in which the student came in – if a student does not opt to go with new catalog it is up to the department to support the student within the old catalog.  </w:t>
            </w:r>
            <w:r w:rsidR="00804F67">
              <w:rPr>
                <w:bCs/>
                <w:sz w:val="20"/>
                <w:szCs w:val="20"/>
              </w:rPr>
              <w:t xml:space="preserve">Updated 8 semester plans </w:t>
            </w:r>
            <w:proofErr w:type="gramStart"/>
            <w:r w:rsidR="00804F67">
              <w:rPr>
                <w:bCs/>
                <w:sz w:val="20"/>
                <w:szCs w:val="20"/>
              </w:rPr>
              <w:t>are  part</w:t>
            </w:r>
            <w:proofErr w:type="gramEnd"/>
            <w:r w:rsidR="00804F67">
              <w:rPr>
                <w:bCs/>
                <w:sz w:val="20"/>
                <w:szCs w:val="20"/>
              </w:rPr>
              <w:t xml:space="preserve"> of the annual assessment report for each program that is </w:t>
            </w:r>
            <w:r w:rsidR="00804F67">
              <w:rPr>
                <w:bCs/>
                <w:sz w:val="20"/>
                <w:szCs w:val="20"/>
              </w:rPr>
              <w:lastRenderedPageBreak/>
              <w:t xml:space="preserve">submitted to Institutional Planning and Effectiveness.  </w:t>
            </w:r>
          </w:p>
          <w:p w:rsidR="00876791" w:rsidRDefault="00876791" w:rsidP="00876791">
            <w:pPr>
              <w:tabs>
                <w:tab w:val="right" w:pos="480"/>
                <w:tab w:val="left" w:pos="720"/>
                <w:tab w:val="left" w:leader="dot" w:pos="7380"/>
                <w:tab w:val="left" w:pos="7560"/>
              </w:tabs>
              <w:rPr>
                <w:bCs/>
                <w:sz w:val="20"/>
                <w:szCs w:val="20"/>
              </w:rPr>
            </w:pPr>
          </w:p>
          <w:p w:rsidR="00876791" w:rsidRPr="00AD76D7" w:rsidRDefault="00876791" w:rsidP="00595C61">
            <w:pPr>
              <w:rPr>
                <w:b/>
                <w:color w:val="0000FF"/>
                <w:sz w:val="20"/>
                <w:szCs w:val="20"/>
              </w:rPr>
            </w:pPr>
          </w:p>
        </w:tc>
      </w:tr>
      <w:tr w:rsidR="00AE6D36" w:rsidTr="00AD76D7">
        <w:tc>
          <w:tcPr>
            <w:tcW w:w="2088" w:type="dxa"/>
          </w:tcPr>
          <w:p w:rsidR="00AE6D36" w:rsidRPr="00AD76D7" w:rsidRDefault="00455B85" w:rsidP="00595C61">
            <w:pPr>
              <w:rPr>
                <w:b/>
                <w:color w:val="0000FF"/>
                <w:sz w:val="20"/>
                <w:szCs w:val="20"/>
              </w:rPr>
            </w:pPr>
            <w:r>
              <w:rPr>
                <w:b/>
                <w:color w:val="0000FF"/>
                <w:sz w:val="20"/>
                <w:szCs w:val="20"/>
              </w:rPr>
              <w:lastRenderedPageBreak/>
              <w:t>Phased Retirement</w:t>
            </w:r>
          </w:p>
        </w:tc>
        <w:tc>
          <w:tcPr>
            <w:tcW w:w="6768" w:type="dxa"/>
          </w:tcPr>
          <w:p w:rsidR="00455B85" w:rsidRDefault="00455B85" w:rsidP="00455B85">
            <w:pPr>
              <w:tabs>
                <w:tab w:val="right" w:pos="480"/>
                <w:tab w:val="left" w:pos="720"/>
                <w:tab w:val="left" w:leader="dot" w:pos="7380"/>
                <w:tab w:val="left" w:pos="7560"/>
              </w:tabs>
              <w:rPr>
                <w:bCs/>
                <w:sz w:val="20"/>
                <w:szCs w:val="20"/>
              </w:rPr>
            </w:pPr>
            <w:r>
              <w:rPr>
                <w:bCs/>
                <w:sz w:val="20"/>
                <w:szCs w:val="20"/>
              </w:rPr>
              <w:t>Deans can deny phased retirement due to the economic climate.  Discussion ensued.</w:t>
            </w:r>
          </w:p>
          <w:p w:rsidR="00AE6D36" w:rsidRPr="00AD76D7" w:rsidRDefault="00AE6D36" w:rsidP="00595C61">
            <w:pPr>
              <w:rPr>
                <w:b/>
                <w:color w:val="0000FF"/>
                <w:sz w:val="20"/>
                <w:szCs w:val="20"/>
              </w:rPr>
            </w:pPr>
          </w:p>
        </w:tc>
      </w:tr>
      <w:tr w:rsidR="00AE6D36" w:rsidTr="00AD76D7">
        <w:tc>
          <w:tcPr>
            <w:tcW w:w="2088" w:type="dxa"/>
          </w:tcPr>
          <w:p w:rsidR="00AE6D36" w:rsidRPr="00AD76D7" w:rsidRDefault="00455B85" w:rsidP="00595C61">
            <w:pPr>
              <w:rPr>
                <w:b/>
                <w:color w:val="0000FF"/>
                <w:sz w:val="20"/>
                <w:szCs w:val="20"/>
              </w:rPr>
            </w:pPr>
            <w:r>
              <w:rPr>
                <w:b/>
                <w:color w:val="0000FF"/>
                <w:sz w:val="20"/>
                <w:szCs w:val="20"/>
              </w:rPr>
              <w:t>Critical Positions</w:t>
            </w:r>
          </w:p>
        </w:tc>
        <w:tc>
          <w:tcPr>
            <w:tcW w:w="6768" w:type="dxa"/>
          </w:tcPr>
          <w:p w:rsidR="00455B85" w:rsidRDefault="00455B85" w:rsidP="00455B85">
            <w:pPr>
              <w:tabs>
                <w:tab w:val="right" w:pos="480"/>
                <w:tab w:val="left" w:pos="720"/>
                <w:tab w:val="left" w:leader="dot" w:pos="7380"/>
                <w:tab w:val="left" w:pos="7560"/>
              </w:tabs>
              <w:rPr>
                <w:bCs/>
                <w:sz w:val="20"/>
                <w:szCs w:val="20"/>
              </w:rPr>
            </w:pPr>
            <w:r>
              <w:rPr>
                <w:bCs/>
                <w:sz w:val="20"/>
                <w:szCs w:val="20"/>
              </w:rPr>
              <w:t xml:space="preserve">Linda handed out a final draft defining Critical Positions and reviewed the handout with COD.  </w:t>
            </w:r>
          </w:p>
          <w:p w:rsidR="00AE6D36" w:rsidRPr="00AD76D7" w:rsidRDefault="00AE6D36" w:rsidP="00595C61">
            <w:pPr>
              <w:rPr>
                <w:b/>
                <w:color w:val="0000FF"/>
                <w:sz w:val="20"/>
                <w:szCs w:val="20"/>
              </w:rPr>
            </w:pPr>
          </w:p>
        </w:tc>
      </w:tr>
      <w:tr w:rsidR="00AE6D36" w:rsidTr="00AD76D7">
        <w:tc>
          <w:tcPr>
            <w:tcW w:w="2088" w:type="dxa"/>
          </w:tcPr>
          <w:p w:rsidR="00AE6D36" w:rsidRPr="00AD76D7" w:rsidRDefault="00455B85" w:rsidP="00595C61">
            <w:pPr>
              <w:rPr>
                <w:b/>
                <w:color w:val="0000FF"/>
                <w:sz w:val="20"/>
                <w:szCs w:val="20"/>
              </w:rPr>
            </w:pPr>
            <w:r>
              <w:rPr>
                <w:b/>
                <w:color w:val="0000FF"/>
                <w:sz w:val="20"/>
                <w:szCs w:val="20"/>
              </w:rPr>
              <w:t>Graduate and Undergraduate Programs</w:t>
            </w:r>
          </w:p>
        </w:tc>
        <w:tc>
          <w:tcPr>
            <w:tcW w:w="6768" w:type="dxa"/>
          </w:tcPr>
          <w:p w:rsidR="00497983" w:rsidRDefault="00497983" w:rsidP="00497983">
            <w:pPr>
              <w:tabs>
                <w:tab w:val="right" w:pos="480"/>
                <w:tab w:val="left" w:pos="720"/>
                <w:tab w:val="left" w:leader="dot" w:pos="7380"/>
                <w:tab w:val="left" w:pos="7560"/>
              </w:tabs>
              <w:rPr>
                <w:bCs/>
                <w:sz w:val="20"/>
                <w:szCs w:val="20"/>
              </w:rPr>
            </w:pPr>
            <w:r>
              <w:rPr>
                <w:bCs/>
                <w:sz w:val="20"/>
                <w:szCs w:val="20"/>
              </w:rPr>
              <w:t xml:space="preserve">Linda distributed handouts regarding graduate and undergraduate programs.  Linda asked deans to review and please send Ann Green any corrections.  </w:t>
            </w:r>
          </w:p>
          <w:p w:rsidR="00AE6D36" w:rsidRPr="00AD76D7" w:rsidRDefault="00AE6D36" w:rsidP="0045004D">
            <w:pPr>
              <w:rPr>
                <w:b/>
                <w:color w:val="0000FF"/>
                <w:sz w:val="20"/>
                <w:szCs w:val="20"/>
              </w:rPr>
            </w:pPr>
          </w:p>
        </w:tc>
      </w:tr>
      <w:tr w:rsidR="00AE6D36" w:rsidTr="00AD76D7">
        <w:tc>
          <w:tcPr>
            <w:tcW w:w="2088" w:type="dxa"/>
          </w:tcPr>
          <w:p w:rsidR="00AE6D36" w:rsidRPr="00AD76D7" w:rsidRDefault="003271A2" w:rsidP="00595C61">
            <w:pPr>
              <w:rPr>
                <w:b/>
                <w:color w:val="0000FF"/>
                <w:sz w:val="20"/>
                <w:szCs w:val="20"/>
              </w:rPr>
            </w:pPr>
            <w:r>
              <w:rPr>
                <w:b/>
                <w:color w:val="0000FF"/>
                <w:sz w:val="20"/>
                <w:szCs w:val="20"/>
              </w:rPr>
              <w:t>Friday’s Agenda for Special COD Meeting</w:t>
            </w:r>
          </w:p>
        </w:tc>
        <w:tc>
          <w:tcPr>
            <w:tcW w:w="6768" w:type="dxa"/>
          </w:tcPr>
          <w:p w:rsidR="003271A2" w:rsidRDefault="003271A2" w:rsidP="003271A2">
            <w:pPr>
              <w:tabs>
                <w:tab w:val="right" w:pos="480"/>
                <w:tab w:val="left" w:pos="720"/>
                <w:tab w:val="left" w:leader="dot" w:pos="7380"/>
                <w:tab w:val="left" w:pos="7560"/>
              </w:tabs>
              <w:rPr>
                <w:bCs/>
                <w:sz w:val="20"/>
                <w:szCs w:val="20"/>
              </w:rPr>
            </w:pPr>
            <w:r>
              <w:rPr>
                <w:bCs/>
                <w:sz w:val="20"/>
                <w:szCs w:val="20"/>
              </w:rPr>
              <w:t>1) course load</w:t>
            </w:r>
          </w:p>
          <w:p w:rsidR="003271A2" w:rsidRDefault="003271A2" w:rsidP="003271A2">
            <w:pPr>
              <w:tabs>
                <w:tab w:val="right" w:pos="480"/>
                <w:tab w:val="left" w:pos="720"/>
                <w:tab w:val="left" w:leader="dot" w:pos="7380"/>
                <w:tab w:val="left" w:pos="7560"/>
              </w:tabs>
              <w:rPr>
                <w:bCs/>
                <w:sz w:val="20"/>
                <w:szCs w:val="20"/>
              </w:rPr>
            </w:pPr>
            <w:r>
              <w:rPr>
                <w:bCs/>
                <w:sz w:val="20"/>
                <w:szCs w:val="20"/>
              </w:rPr>
              <w:t>2) Department Heads going from 12 to 10 month</w:t>
            </w:r>
          </w:p>
          <w:p w:rsidR="003271A2" w:rsidRDefault="003271A2" w:rsidP="003271A2">
            <w:pPr>
              <w:tabs>
                <w:tab w:val="right" w:pos="480"/>
                <w:tab w:val="left" w:pos="720"/>
                <w:tab w:val="left" w:leader="dot" w:pos="7380"/>
                <w:tab w:val="left" w:pos="7560"/>
              </w:tabs>
              <w:rPr>
                <w:bCs/>
                <w:sz w:val="20"/>
                <w:szCs w:val="20"/>
              </w:rPr>
            </w:pPr>
            <w:r>
              <w:rPr>
                <w:bCs/>
                <w:sz w:val="20"/>
                <w:szCs w:val="20"/>
              </w:rPr>
              <w:t>3) strategies to reduce</w:t>
            </w:r>
          </w:p>
          <w:p w:rsidR="003271A2" w:rsidRDefault="003271A2" w:rsidP="003271A2">
            <w:pPr>
              <w:tabs>
                <w:tab w:val="right" w:pos="480"/>
                <w:tab w:val="left" w:pos="720"/>
                <w:tab w:val="left" w:leader="dot" w:pos="7380"/>
                <w:tab w:val="left" w:pos="7560"/>
              </w:tabs>
              <w:rPr>
                <w:bCs/>
                <w:sz w:val="20"/>
                <w:szCs w:val="20"/>
              </w:rPr>
            </w:pPr>
            <w:r>
              <w:rPr>
                <w:bCs/>
                <w:sz w:val="20"/>
                <w:szCs w:val="20"/>
              </w:rPr>
              <w:t>4) process for review and discussion</w:t>
            </w:r>
          </w:p>
          <w:p w:rsidR="003271A2" w:rsidRDefault="003271A2" w:rsidP="003271A2">
            <w:pPr>
              <w:tabs>
                <w:tab w:val="right" w:pos="480"/>
                <w:tab w:val="left" w:pos="720"/>
                <w:tab w:val="left" w:leader="dot" w:pos="7380"/>
                <w:tab w:val="left" w:pos="7560"/>
              </w:tabs>
              <w:rPr>
                <w:bCs/>
                <w:sz w:val="20"/>
                <w:szCs w:val="20"/>
              </w:rPr>
            </w:pPr>
            <w:r>
              <w:rPr>
                <w:bCs/>
                <w:sz w:val="20"/>
                <w:szCs w:val="20"/>
              </w:rPr>
              <w:t>5) first year seminars</w:t>
            </w:r>
          </w:p>
          <w:p w:rsidR="003271A2" w:rsidRDefault="003271A2" w:rsidP="003271A2">
            <w:pPr>
              <w:tabs>
                <w:tab w:val="right" w:pos="480"/>
                <w:tab w:val="left" w:pos="720"/>
                <w:tab w:val="left" w:leader="dot" w:pos="7380"/>
                <w:tab w:val="left" w:pos="7560"/>
              </w:tabs>
              <w:rPr>
                <w:bCs/>
                <w:sz w:val="20"/>
                <w:szCs w:val="20"/>
              </w:rPr>
            </w:pPr>
            <w:r>
              <w:rPr>
                <w:bCs/>
                <w:sz w:val="20"/>
                <w:szCs w:val="20"/>
              </w:rPr>
              <w:t>6) liberal studies master list</w:t>
            </w:r>
          </w:p>
          <w:p w:rsidR="00AE6D36" w:rsidRDefault="00AE6D36" w:rsidP="00AD76D7">
            <w:pPr>
              <w:tabs>
                <w:tab w:val="right" w:pos="480"/>
                <w:tab w:val="left" w:pos="720"/>
                <w:tab w:val="left" w:leader="dot" w:pos="7380"/>
                <w:tab w:val="left" w:pos="7560"/>
              </w:tabs>
              <w:rPr>
                <w:bCs/>
                <w:sz w:val="20"/>
                <w:szCs w:val="20"/>
              </w:rPr>
            </w:pPr>
          </w:p>
          <w:p w:rsidR="002B15AE" w:rsidRPr="00AD76D7" w:rsidRDefault="002B15AE" w:rsidP="00AD76D7">
            <w:pPr>
              <w:tabs>
                <w:tab w:val="right" w:pos="480"/>
                <w:tab w:val="left" w:pos="720"/>
                <w:tab w:val="left" w:leader="dot" w:pos="7380"/>
                <w:tab w:val="left" w:pos="7560"/>
              </w:tabs>
              <w:rPr>
                <w:bCs/>
                <w:sz w:val="20"/>
                <w:szCs w:val="20"/>
              </w:rPr>
            </w:pPr>
            <w:r>
              <w:rPr>
                <w:bCs/>
                <w:sz w:val="20"/>
                <w:szCs w:val="20"/>
              </w:rPr>
              <w:t>Linda has asked the deans to come forward with all information</w:t>
            </w:r>
          </w:p>
        </w:tc>
      </w:tr>
    </w:tbl>
    <w:p w:rsidR="00AE6D36" w:rsidRDefault="00AE6D36" w:rsidP="00595C61">
      <w:pPr>
        <w:rPr>
          <w:b/>
          <w:color w:val="0000FF"/>
          <w:sz w:val="20"/>
          <w:szCs w:val="20"/>
        </w:rPr>
      </w:pPr>
    </w:p>
    <w:p w:rsidR="00AE6D36" w:rsidRDefault="00AE6D36"/>
    <w:sectPr w:rsidR="00AE6D36"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7">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8">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0">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8"/>
  </w:num>
  <w:num w:numId="2">
    <w:abstractNumId w:val="21"/>
  </w:num>
  <w:num w:numId="3">
    <w:abstractNumId w:val="5"/>
  </w:num>
  <w:num w:numId="4">
    <w:abstractNumId w:val="16"/>
  </w:num>
  <w:num w:numId="5">
    <w:abstractNumId w:val="20"/>
  </w:num>
  <w:num w:numId="6">
    <w:abstractNumId w:val="7"/>
  </w:num>
  <w:num w:numId="7">
    <w:abstractNumId w:val="19"/>
  </w:num>
  <w:num w:numId="8">
    <w:abstractNumId w:val="23"/>
  </w:num>
  <w:num w:numId="9">
    <w:abstractNumId w:val="2"/>
  </w:num>
  <w:num w:numId="10">
    <w:abstractNumId w:val="10"/>
  </w:num>
  <w:num w:numId="11">
    <w:abstractNumId w:val="1"/>
  </w:num>
  <w:num w:numId="12">
    <w:abstractNumId w:val="6"/>
  </w:num>
  <w:num w:numId="13">
    <w:abstractNumId w:val="11"/>
  </w:num>
  <w:num w:numId="14">
    <w:abstractNumId w:val="4"/>
  </w:num>
  <w:num w:numId="15">
    <w:abstractNumId w:val="3"/>
  </w:num>
  <w:num w:numId="16">
    <w:abstractNumId w:val="24"/>
  </w:num>
  <w:num w:numId="17">
    <w:abstractNumId w:val="22"/>
  </w:num>
  <w:num w:numId="18">
    <w:abstractNumId w:val="13"/>
  </w:num>
  <w:num w:numId="19">
    <w:abstractNumId w:val="18"/>
  </w:num>
  <w:num w:numId="20">
    <w:abstractNumId w:val="0"/>
  </w:num>
  <w:num w:numId="21">
    <w:abstractNumId w:val="14"/>
  </w:num>
  <w:num w:numId="22">
    <w:abstractNumId w:val="15"/>
  </w:num>
  <w:num w:numId="23">
    <w:abstractNumId w:val="12"/>
  </w:num>
  <w:num w:numId="24">
    <w:abstractNumId w:val="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95C61"/>
    <w:rsid w:val="00000C2E"/>
    <w:rsid w:val="000019A5"/>
    <w:rsid w:val="00001DC8"/>
    <w:rsid w:val="0001117A"/>
    <w:rsid w:val="0001314C"/>
    <w:rsid w:val="00014676"/>
    <w:rsid w:val="00015260"/>
    <w:rsid w:val="000157FD"/>
    <w:rsid w:val="000175AC"/>
    <w:rsid w:val="0002124A"/>
    <w:rsid w:val="00021C78"/>
    <w:rsid w:val="00026C52"/>
    <w:rsid w:val="000300DA"/>
    <w:rsid w:val="0003555A"/>
    <w:rsid w:val="00040C24"/>
    <w:rsid w:val="00041A7C"/>
    <w:rsid w:val="00041F98"/>
    <w:rsid w:val="0004373A"/>
    <w:rsid w:val="000478D3"/>
    <w:rsid w:val="00054680"/>
    <w:rsid w:val="0006285B"/>
    <w:rsid w:val="00077943"/>
    <w:rsid w:val="00081C2E"/>
    <w:rsid w:val="00095F4E"/>
    <w:rsid w:val="000A13A7"/>
    <w:rsid w:val="000A5E82"/>
    <w:rsid w:val="000C0764"/>
    <w:rsid w:val="000C1B57"/>
    <w:rsid w:val="000C4312"/>
    <w:rsid w:val="000D5C28"/>
    <w:rsid w:val="000E49F3"/>
    <w:rsid w:val="000F5C6F"/>
    <w:rsid w:val="00112DAE"/>
    <w:rsid w:val="001168E8"/>
    <w:rsid w:val="001227B3"/>
    <w:rsid w:val="00127C2B"/>
    <w:rsid w:val="00134B11"/>
    <w:rsid w:val="001360BE"/>
    <w:rsid w:val="00136C4F"/>
    <w:rsid w:val="001503FC"/>
    <w:rsid w:val="00150658"/>
    <w:rsid w:val="00151B97"/>
    <w:rsid w:val="00155766"/>
    <w:rsid w:val="00166E00"/>
    <w:rsid w:val="00167A03"/>
    <w:rsid w:val="001757DA"/>
    <w:rsid w:val="00184F04"/>
    <w:rsid w:val="00185162"/>
    <w:rsid w:val="001A1469"/>
    <w:rsid w:val="001B14C8"/>
    <w:rsid w:val="001B33BE"/>
    <w:rsid w:val="001C6A46"/>
    <w:rsid w:val="001D71F8"/>
    <w:rsid w:val="001E1C31"/>
    <w:rsid w:val="001F006B"/>
    <w:rsid w:val="001F4163"/>
    <w:rsid w:val="001F4A53"/>
    <w:rsid w:val="001F4A67"/>
    <w:rsid w:val="001F7EF5"/>
    <w:rsid w:val="00200621"/>
    <w:rsid w:val="00205D36"/>
    <w:rsid w:val="0021024A"/>
    <w:rsid w:val="00211390"/>
    <w:rsid w:val="00211875"/>
    <w:rsid w:val="00211FC8"/>
    <w:rsid w:val="00214725"/>
    <w:rsid w:val="00216807"/>
    <w:rsid w:val="00217E3B"/>
    <w:rsid w:val="00221800"/>
    <w:rsid w:val="00222A81"/>
    <w:rsid w:val="00224315"/>
    <w:rsid w:val="0023291F"/>
    <w:rsid w:val="00236FD7"/>
    <w:rsid w:val="00237972"/>
    <w:rsid w:val="00241B20"/>
    <w:rsid w:val="00242AA4"/>
    <w:rsid w:val="002505F1"/>
    <w:rsid w:val="00250EBF"/>
    <w:rsid w:val="00263B33"/>
    <w:rsid w:val="00290D54"/>
    <w:rsid w:val="002A0AB9"/>
    <w:rsid w:val="002B118D"/>
    <w:rsid w:val="002B15AE"/>
    <w:rsid w:val="002B5CE6"/>
    <w:rsid w:val="002B6FB0"/>
    <w:rsid w:val="002B7365"/>
    <w:rsid w:val="002C3CBB"/>
    <w:rsid w:val="002D4BFF"/>
    <w:rsid w:val="002D50A0"/>
    <w:rsid w:val="002D5AA9"/>
    <w:rsid w:val="002E06AB"/>
    <w:rsid w:val="002E1638"/>
    <w:rsid w:val="002E5B2A"/>
    <w:rsid w:val="002E75C3"/>
    <w:rsid w:val="002E7DC1"/>
    <w:rsid w:val="002F0FB1"/>
    <w:rsid w:val="002F1878"/>
    <w:rsid w:val="002F7EE2"/>
    <w:rsid w:val="0030161F"/>
    <w:rsid w:val="003038A3"/>
    <w:rsid w:val="00303EEA"/>
    <w:rsid w:val="00304CAF"/>
    <w:rsid w:val="003103C3"/>
    <w:rsid w:val="0031127C"/>
    <w:rsid w:val="00320D82"/>
    <w:rsid w:val="00323C2E"/>
    <w:rsid w:val="003271A2"/>
    <w:rsid w:val="003301E8"/>
    <w:rsid w:val="00330BEF"/>
    <w:rsid w:val="00331652"/>
    <w:rsid w:val="00331BEF"/>
    <w:rsid w:val="00345B1F"/>
    <w:rsid w:val="00346F8F"/>
    <w:rsid w:val="0036582B"/>
    <w:rsid w:val="00367E8A"/>
    <w:rsid w:val="00370944"/>
    <w:rsid w:val="0039470E"/>
    <w:rsid w:val="003A0528"/>
    <w:rsid w:val="003B139F"/>
    <w:rsid w:val="003C2B2E"/>
    <w:rsid w:val="003C462F"/>
    <w:rsid w:val="003C6519"/>
    <w:rsid w:val="003C722E"/>
    <w:rsid w:val="003D496D"/>
    <w:rsid w:val="003E0850"/>
    <w:rsid w:val="003E21D7"/>
    <w:rsid w:val="003E749A"/>
    <w:rsid w:val="003F1549"/>
    <w:rsid w:val="00403F91"/>
    <w:rsid w:val="0040420A"/>
    <w:rsid w:val="00404978"/>
    <w:rsid w:val="004152CA"/>
    <w:rsid w:val="004158C7"/>
    <w:rsid w:val="00417D78"/>
    <w:rsid w:val="004229E1"/>
    <w:rsid w:val="0042333B"/>
    <w:rsid w:val="00423505"/>
    <w:rsid w:val="00424186"/>
    <w:rsid w:val="00424BEF"/>
    <w:rsid w:val="00436EC3"/>
    <w:rsid w:val="00443C1D"/>
    <w:rsid w:val="00444452"/>
    <w:rsid w:val="00445069"/>
    <w:rsid w:val="0045004D"/>
    <w:rsid w:val="00453D02"/>
    <w:rsid w:val="00455B85"/>
    <w:rsid w:val="004627E9"/>
    <w:rsid w:val="0046524B"/>
    <w:rsid w:val="00470627"/>
    <w:rsid w:val="004769AB"/>
    <w:rsid w:val="0048217E"/>
    <w:rsid w:val="00485962"/>
    <w:rsid w:val="00487F92"/>
    <w:rsid w:val="004925E9"/>
    <w:rsid w:val="00493DDE"/>
    <w:rsid w:val="00497983"/>
    <w:rsid w:val="004A714A"/>
    <w:rsid w:val="004A7E3E"/>
    <w:rsid w:val="004C48F8"/>
    <w:rsid w:val="004C509D"/>
    <w:rsid w:val="004D27A2"/>
    <w:rsid w:val="004F35F5"/>
    <w:rsid w:val="00505EFD"/>
    <w:rsid w:val="00506A9E"/>
    <w:rsid w:val="005202DC"/>
    <w:rsid w:val="00527636"/>
    <w:rsid w:val="00527A74"/>
    <w:rsid w:val="00527CC3"/>
    <w:rsid w:val="0053478D"/>
    <w:rsid w:val="00550188"/>
    <w:rsid w:val="00550482"/>
    <w:rsid w:val="005523EA"/>
    <w:rsid w:val="005619E8"/>
    <w:rsid w:val="00561D99"/>
    <w:rsid w:val="00570DF2"/>
    <w:rsid w:val="0057168F"/>
    <w:rsid w:val="005759AC"/>
    <w:rsid w:val="00576C69"/>
    <w:rsid w:val="005856B5"/>
    <w:rsid w:val="00586C84"/>
    <w:rsid w:val="00595C61"/>
    <w:rsid w:val="005A1966"/>
    <w:rsid w:val="005A5FE0"/>
    <w:rsid w:val="005B199E"/>
    <w:rsid w:val="005B1DF9"/>
    <w:rsid w:val="005B3657"/>
    <w:rsid w:val="005B3C15"/>
    <w:rsid w:val="005B690C"/>
    <w:rsid w:val="005C0C71"/>
    <w:rsid w:val="005C61E9"/>
    <w:rsid w:val="005D0FD5"/>
    <w:rsid w:val="005E407F"/>
    <w:rsid w:val="005E4C81"/>
    <w:rsid w:val="005E75E1"/>
    <w:rsid w:val="005F13A5"/>
    <w:rsid w:val="005F52FC"/>
    <w:rsid w:val="005F70FD"/>
    <w:rsid w:val="00606032"/>
    <w:rsid w:val="00612295"/>
    <w:rsid w:val="00620C67"/>
    <w:rsid w:val="00623D0E"/>
    <w:rsid w:val="0062591F"/>
    <w:rsid w:val="00625DB4"/>
    <w:rsid w:val="00634544"/>
    <w:rsid w:val="00636E7A"/>
    <w:rsid w:val="00636F7D"/>
    <w:rsid w:val="006374BE"/>
    <w:rsid w:val="00637D8B"/>
    <w:rsid w:val="00651B70"/>
    <w:rsid w:val="00661A84"/>
    <w:rsid w:val="00662491"/>
    <w:rsid w:val="00666774"/>
    <w:rsid w:val="00674077"/>
    <w:rsid w:val="00674640"/>
    <w:rsid w:val="0068434D"/>
    <w:rsid w:val="006853EB"/>
    <w:rsid w:val="00687F3F"/>
    <w:rsid w:val="00694D01"/>
    <w:rsid w:val="006A2B65"/>
    <w:rsid w:val="006A6153"/>
    <w:rsid w:val="006B08FA"/>
    <w:rsid w:val="006B0B34"/>
    <w:rsid w:val="006B218F"/>
    <w:rsid w:val="006B4107"/>
    <w:rsid w:val="006B4977"/>
    <w:rsid w:val="006B72FB"/>
    <w:rsid w:val="006C0440"/>
    <w:rsid w:val="006C174F"/>
    <w:rsid w:val="006C4425"/>
    <w:rsid w:val="006C4BC6"/>
    <w:rsid w:val="006C4C59"/>
    <w:rsid w:val="006E0E09"/>
    <w:rsid w:val="006F034B"/>
    <w:rsid w:val="006F30FA"/>
    <w:rsid w:val="006F5F97"/>
    <w:rsid w:val="00704328"/>
    <w:rsid w:val="00715B04"/>
    <w:rsid w:val="007166E1"/>
    <w:rsid w:val="00721525"/>
    <w:rsid w:val="007223CE"/>
    <w:rsid w:val="007268C4"/>
    <w:rsid w:val="007337AB"/>
    <w:rsid w:val="00735CD1"/>
    <w:rsid w:val="00754EC9"/>
    <w:rsid w:val="007573E6"/>
    <w:rsid w:val="007640A7"/>
    <w:rsid w:val="0078579F"/>
    <w:rsid w:val="00790F26"/>
    <w:rsid w:val="00791AD4"/>
    <w:rsid w:val="007A28B4"/>
    <w:rsid w:val="007B21CB"/>
    <w:rsid w:val="007B27FE"/>
    <w:rsid w:val="007B294F"/>
    <w:rsid w:val="007B689F"/>
    <w:rsid w:val="007C0148"/>
    <w:rsid w:val="007C028E"/>
    <w:rsid w:val="007C2D59"/>
    <w:rsid w:val="007C6C3B"/>
    <w:rsid w:val="007C7A94"/>
    <w:rsid w:val="007D1835"/>
    <w:rsid w:val="007F0177"/>
    <w:rsid w:val="007F09D3"/>
    <w:rsid w:val="007F0E33"/>
    <w:rsid w:val="007F2384"/>
    <w:rsid w:val="008034D7"/>
    <w:rsid w:val="00804F67"/>
    <w:rsid w:val="0080514B"/>
    <w:rsid w:val="0081080A"/>
    <w:rsid w:val="008249BC"/>
    <w:rsid w:val="00827D15"/>
    <w:rsid w:val="00833A49"/>
    <w:rsid w:val="00833A61"/>
    <w:rsid w:val="00833F77"/>
    <w:rsid w:val="00835727"/>
    <w:rsid w:val="00840741"/>
    <w:rsid w:val="0085113F"/>
    <w:rsid w:val="0085337A"/>
    <w:rsid w:val="00855F77"/>
    <w:rsid w:val="00863864"/>
    <w:rsid w:val="00863C7F"/>
    <w:rsid w:val="00864CCC"/>
    <w:rsid w:val="00864F0E"/>
    <w:rsid w:val="0086501C"/>
    <w:rsid w:val="00866D62"/>
    <w:rsid w:val="008766BE"/>
    <w:rsid w:val="00876791"/>
    <w:rsid w:val="008809DD"/>
    <w:rsid w:val="0089161A"/>
    <w:rsid w:val="00892709"/>
    <w:rsid w:val="00892903"/>
    <w:rsid w:val="008936BE"/>
    <w:rsid w:val="00894982"/>
    <w:rsid w:val="008954BD"/>
    <w:rsid w:val="008C4319"/>
    <w:rsid w:val="008C716A"/>
    <w:rsid w:val="008C7649"/>
    <w:rsid w:val="008D1913"/>
    <w:rsid w:val="008D23F0"/>
    <w:rsid w:val="008D742A"/>
    <w:rsid w:val="008E1A1C"/>
    <w:rsid w:val="008F267C"/>
    <w:rsid w:val="008F291B"/>
    <w:rsid w:val="008F6D25"/>
    <w:rsid w:val="008F707F"/>
    <w:rsid w:val="00912EDD"/>
    <w:rsid w:val="0091427C"/>
    <w:rsid w:val="009161BE"/>
    <w:rsid w:val="009253D3"/>
    <w:rsid w:val="00930168"/>
    <w:rsid w:val="00930807"/>
    <w:rsid w:val="009318CC"/>
    <w:rsid w:val="00937489"/>
    <w:rsid w:val="00942CB9"/>
    <w:rsid w:val="00950B0B"/>
    <w:rsid w:val="00951CB4"/>
    <w:rsid w:val="00961648"/>
    <w:rsid w:val="00965698"/>
    <w:rsid w:val="00971CD2"/>
    <w:rsid w:val="00982BCD"/>
    <w:rsid w:val="00990B81"/>
    <w:rsid w:val="0099486E"/>
    <w:rsid w:val="00994DC7"/>
    <w:rsid w:val="00995D58"/>
    <w:rsid w:val="009A0450"/>
    <w:rsid w:val="009A077A"/>
    <w:rsid w:val="009A2A7E"/>
    <w:rsid w:val="009A4BA7"/>
    <w:rsid w:val="009A4F1E"/>
    <w:rsid w:val="009B07D5"/>
    <w:rsid w:val="009B110F"/>
    <w:rsid w:val="009B4FDA"/>
    <w:rsid w:val="009B5D9A"/>
    <w:rsid w:val="009B6A2F"/>
    <w:rsid w:val="009C1BA7"/>
    <w:rsid w:val="009D7DBE"/>
    <w:rsid w:val="009E29E3"/>
    <w:rsid w:val="009E548E"/>
    <w:rsid w:val="009F3543"/>
    <w:rsid w:val="009F4D66"/>
    <w:rsid w:val="009F630C"/>
    <w:rsid w:val="00A0436F"/>
    <w:rsid w:val="00A04B2C"/>
    <w:rsid w:val="00A234CE"/>
    <w:rsid w:val="00A27AC4"/>
    <w:rsid w:val="00A27F0D"/>
    <w:rsid w:val="00A32559"/>
    <w:rsid w:val="00A329B6"/>
    <w:rsid w:val="00A347E2"/>
    <w:rsid w:val="00A379BC"/>
    <w:rsid w:val="00A42BBA"/>
    <w:rsid w:val="00A471C7"/>
    <w:rsid w:val="00A4767F"/>
    <w:rsid w:val="00A51192"/>
    <w:rsid w:val="00A6238E"/>
    <w:rsid w:val="00A645F3"/>
    <w:rsid w:val="00A65FC4"/>
    <w:rsid w:val="00A77E45"/>
    <w:rsid w:val="00A905D8"/>
    <w:rsid w:val="00A9183F"/>
    <w:rsid w:val="00AA29C7"/>
    <w:rsid w:val="00AB4554"/>
    <w:rsid w:val="00AC0F57"/>
    <w:rsid w:val="00AC13DB"/>
    <w:rsid w:val="00AD76D7"/>
    <w:rsid w:val="00AE4602"/>
    <w:rsid w:val="00AE6385"/>
    <w:rsid w:val="00AE6D36"/>
    <w:rsid w:val="00AF1F13"/>
    <w:rsid w:val="00B029D2"/>
    <w:rsid w:val="00B030A9"/>
    <w:rsid w:val="00B0459D"/>
    <w:rsid w:val="00B065F8"/>
    <w:rsid w:val="00B10EFD"/>
    <w:rsid w:val="00B112BB"/>
    <w:rsid w:val="00B227E3"/>
    <w:rsid w:val="00B25791"/>
    <w:rsid w:val="00B360C5"/>
    <w:rsid w:val="00B409D6"/>
    <w:rsid w:val="00B50101"/>
    <w:rsid w:val="00B563D8"/>
    <w:rsid w:val="00B6355B"/>
    <w:rsid w:val="00B66FDE"/>
    <w:rsid w:val="00B67147"/>
    <w:rsid w:val="00B67D42"/>
    <w:rsid w:val="00B81E80"/>
    <w:rsid w:val="00B82165"/>
    <w:rsid w:val="00B8571F"/>
    <w:rsid w:val="00B862E7"/>
    <w:rsid w:val="00B96EE9"/>
    <w:rsid w:val="00BA6CE3"/>
    <w:rsid w:val="00BB35FE"/>
    <w:rsid w:val="00BB4F34"/>
    <w:rsid w:val="00BC5901"/>
    <w:rsid w:val="00BD0D03"/>
    <w:rsid w:val="00BD6142"/>
    <w:rsid w:val="00BD71F7"/>
    <w:rsid w:val="00BE367E"/>
    <w:rsid w:val="00BE40F3"/>
    <w:rsid w:val="00BE6B00"/>
    <w:rsid w:val="00BF6AD9"/>
    <w:rsid w:val="00BF724B"/>
    <w:rsid w:val="00C0597A"/>
    <w:rsid w:val="00C06BA7"/>
    <w:rsid w:val="00C07464"/>
    <w:rsid w:val="00C10E3D"/>
    <w:rsid w:val="00C2066A"/>
    <w:rsid w:val="00C2782C"/>
    <w:rsid w:val="00C30A61"/>
    <w:rsid w:val="00C37196"/>
    <w:rsid w:val="00C42B5A"/>
    <w:rsid w:val="00C44D38"/>
    <w:rsid w:val="00C56422"/>
    <w:rsid w:val="00C63C3B"/>
    <w:rsid w:val="00C746A4"/>
    <w:rsid w:val="00C818D4"/>
    <w:rsid w:val="00C8237E"/>
    <w:rsid w:val="00C84296"/>
    <w:rsid w:val="00CB1788"/>
    <w:rsid w:val="00CB1C87"/>
    <w:rsid w:val="00CC485B"/>
    <w:rsid w:val="00CC68B2"/>
    <w:rsid w:val="00CD0879"/>
    <w:rsid w:val="00CD3EC1"/>
    <w:rsid w:val="00CE4E6A"/>
    <w:rsid w:val="00CE59E0"/>
    <w:rsid w:val="00CE662C"/>
    <w:rsid w:val="00CE668F"/>
    <w:rsid w:val="00CF2708"/>
    <w:rsid w:val="00CF5C02"/>
    <w:rsid w:val="00D023CD"/>
    <w:rsid w:val="00D03A4E"/>
    <w:rsid w:val="00D04163"/>
    <w:rsid w:val="00D075DB"/>
    <w:rsid w:val="00D21F72"/>
    <w:rsid w:val="00D357ED"/>
    <w:rsid w:val="00D35FEA"/>
    <w:rsid w:val="00D44783"/>
    <w:rsid w:val="00D47558"/>
    <w:rsid w:val="00D63DAD"/>
    <w:rsid w:val="00D660A1"/>
    <w:rsid w:val="00D71734"/>
    <w:rsid w:val="00D81005"/>
    <w:rsid w:val="00D83220"/>
    <w:rsid w:val="00D91E61"/>
    <w:rsid w:val="00DA02B2"/>
    <w:rsid w:val="00DA1611"/>
    <w:rsid w:val="00DC07DF"/>
    <w:rsid w:val="00DC20A9"/>
    <w:rsid w:val="00DD14B8"/>
    <w:rsid w:val="00DD244E"/>
    <w:rsid w:val="00DE72C7"/>
    <w:rsid w:val="00DE76B1"/>
    <w:rsid w:val="00DF3761"/>
    <w:rsid w:val="00DF3D2B"/>
    <w:rsid w:val="00DF4174"/>
    <w:rsid w:val="00E03199"/>
    <w:rsid w:val="00E049A0"/>
    <w:rsid w:val="00E04DB6"/>
    <w:rsid w:val="00E07723"/>
    <w:rsid w:val="00E07E15"/>
    <w:rsid w:val="00E1178D"/>
    <w:rsid w:val="00E160F9"/>
    <w:rsid w:val="00E23EB3"/>
    <w:rsid w:val="00E26EA8"/>
    <w:rsid w:val="00E35CAC"/>
    <w:rsid w:val="00E372F9"/>
    <w:rsid w:val="00E4034C"/>
    <w:rsid w:val="00E42665"/>
    <w:rsid w:val="00E43208"/>
    <w:rsid w:val="00E478B5"/>
    <w:rsid w:val="00E51D40"/>
    <w:rsid w:val="00E56BCE"/>
    <w:rsid w:val="00E57C90"/>
    <w:rsid w:val="00E64D10"/>
    <w:rsid w:val="00E700E2"/>
    <w:rsid w:val="00E80D28"/>
    <w:rsid w:val="00E86993"/>
    <w:rsid w:val="00E94BAC"/>
    <w:rsid w:val="00E95F3B"/>
    <w:rsid w:val="00E966C2"/>
    <w:rsid w:val="00EA257D"/>
    <w:rsid w:val="00EA5CCF"/>
    <w:rsid w:val="00EA7F7C"/>
    <w:rsid w:val="00EB7CEF"/>
    <w:rsid w:val="00EB7DB3"/>
    <w:rsid w:val="00EC584F"/>
    <w:rsid w:val="00EC6DB9"/>
    <w:rsid w:val="00ED066E"/>
    <w:rsid w:val="00ED7929"/>
    <w:rsid w:val="00EE2507"/>
    <w:rsid w:val="00EF178F"/>
    <w:rsid w:val="00F042E8"/>
    <w:rsid w:val="00F069FD"/>
    <w:rsid w:val="00F25269"/>
    <w:rsid w:val="00F277EE"/>
    <w:rsid w:val="00F326FD"/>
    <w:rsid w:val="00F36AA4"/>
    <w:rsid w:val="00F36E82"/>
    <w:rsid w:val="00F37653"/>
    <w:rsid w:val="00F40F33"/>
    <w:rsid w:val="00F42ADF"/>
    <w:rsid w:val="00F4468D"/>
    <w:rsid w:val="00F51A65"/>
    <w:rsid w:val="00F5328D"/>
    <w:rsid w:val="00F63015"/>
    <w:rsid w:val="00F63693"/>
    <w:rsid w:val="00F646FA"/>
    <w:rsid w:val="00F66F63"/>
    <w:rsid w:val="00F67218"/>
    <w:rsid w:val="00F77DAA"/>
    <w:rsid w:val="00F82439"/>
    <w:rsid w:val="00F838B0"/>
    <w:rsid w:val="00F872BE"/>
    <w:rsid w:val="00F873CA"/>
    <w:rsid w:val="00F87D0F"/>
    <w:rsid w:val="00F93488"/>
    <w:rsid w:val="00F94907"/>
    <w:rsid w:val="00FA13D0"/>
    <w:rsid w:val="00FA2370"/>
    <w:rsid w:val="00FB1068"/>
    <w:rsid w:val="00FD40FA"/>
    <w:rsid w:val="00FD4D3F"/>
    <w:rsid w:val="00FD61CF"/>
    <w:rsid w:val="00FD6701"/>
    <w:rsid w:val="00FE7F1E"/>
    <w:rsid w:val="00FF2BD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b/>
      <w:bCs/>
    </w:rPr>
  </w:style>
</w:styles>
</file>

<file path=word/webSettings.xml><?xml version="1.0" encoding="utf-8"?>
<w:webSettings xmlns:r="http://schemas.openxmlformats.org/officeDocument/2006/relationships" xmlns:w="http://schemas.openxmlformats.org/wordprocessingml/2006/main">
  <w:divs>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4744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cp:lastModifiedBy>
  <cp:revision>2</cp:revision>
  <cp:lastPrinted>2010-11-05T18:56:00Z</cp:lastPrinted>
  <dcterms:created xsi:type="dcterms:W3CDTF">2011-02-22T18:33:00Z</dcterms:created>
  <dcterms:modified xsi:type="dcterms:W3CDTF">2011-02-22T18:33:00Z</dcterms:modified>
</cp:coreProperties>
</file>