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822" w:type="dxa"/>
        <w:tblLook w:val="04A0" w:firstRow="1" w:lastRow="0" w:firstColumn="1" w:lastColumn="0" w:noHBand="0" w:noVBand="1"/>
      </w:tblPr>
      <w:tblGrid>
        <w:gridCol w:w="4585"/>
        <w:gridCol w:w="3150"/>
        <w:gridCol w:w="3330"/>
        <w:gridCol w:w="2757"/>
      </w:tblGrid>
      <w:tr w:rsidR="00397459" w14:paraId="6A6F2447" w14:textId="77777777" w:rsidTr="00DA0E07">
        <w:trPr>
          <w:trHeight w:val="530"/>
        </w:trPr>
        <w:tc>
          <w:tcPr>
            <w:tcW w:w="4585" w:type="dxa"/>
          </w:tcPr>
          <w:p w14:paraId="4D2083E0" w14:textId="13068128" w:rsidR="00397459" w:rsidRDefault="00397459" w:rsidP="00397459">
            <w:pPr>
              <w:keepNext/>
              <w:jc w:val="center"/>
              <w:rPr>
                <w:rFonts w:ascii="Times New Roman" w:hAnsi="Times New Roman" w:cs="Times New Roman"/>
                <w:b/>
                <w:bCs/>
                <w:color w:val="000000" w:themeColor="text1"/>
              </w:rPr>
            </w:pPr>
            <w:r>
              <w:rPr>
                <w:rFonts w:ascii="Times New Roman" w:hAnsi="Times New Roman" w:cs="Times New Roman"/>
                <w:b/>
                <w:bCs/>
                <w:color w:val="000000" w:themeColor="text1"/>
              </w:rPr>
              <w:t>2019 PRM Curriculum Map</w:t>
            </w:r>
          </w:p>
        </w:tc>
        <w:tc>
          <w:tcPr>
            <w:tcW w:w="3150" w:type="dxa"/>
          </w:tcPr>
          <w:p w14:paraId="73701611" w14:textId="33384C91" w:rsidR="00397459" w:rsidRDefault="00F8214E" w:rsidP="00397459">
            <w:pPr>
              <w:jc w:val="center"/>
              <w:rPr>
                <w:b/>
              </w:rPr>
            </w:pPr>
            <w:r>
              <w:rPr>
                <w:b/>
              </w:rPr>
              <w:t>Core PRM Courses</w:t>
            </w:r>
          </w:p>
        </w:tc>
        <w:tc>
          <w:tcPr>
            <w:tcW w:w="3330" w:type="dxa"/>
          </w:tcPr>
          <w:p w14:paraId="2E0B8762" w14:textId="74F23728" w:rsidR="00397459" w:rsidRDefault="00F8214E" w:rsidP="00397459">
            <w:pPr>
              <w:jc w:val="center"/>
              <w:rPr>
                <w:b/>
              </w:rPr>
            </w:pPr>
            <w:r>
              <w:rPr>
                <w:b/>
              </w:rPr>
              <w:t>Core PRM Courses</w:t>
            </w:r>
          </w:p>
        </w:tc>
        <w:tc>
          <w:tcPr>
            <w:tcW w:w="2757" w:type="dxa"/>
          </w:tcPr>
          <w:p w14:paraId="0B558229" w14:textId="689A3E33" w:rsidR="00397459" w:rsidRDefault="00F8214E" w:rsidP="00397459">
            <w:pPr>
              <w:jc w:val="center"/>
              <w:rPr>
                <w:b/>
              </w:rPr>
            </w:pPr>
            <w:r>
              <w:rPr>
                <w:b/>
              </w:rPr>
              <w:t>Core PRM Courses</w:t>
            </w:r>
          </w:p>
        </w:tc>
      </w:tr>
      <w:tr w:rsidR="00397459" w14:paraId="4F24AFA3" w14:textId="77777777" w:rsidTr="00DA0E07">
        <w:trPr>
          <w:trHeight w:val="530"/>
        </w:trPr>
        <w:tc>
          <w:tcPr>
            <w:tcW w:w="4585" w:type="dxa"/>
          </w:tcPr>
          <w:p w14:paraId="799123E5" w14:textId="3B293147" w:rsidR="00397459" w:rsidRPr="00397459" w:rsidRDefault="00397459" w:rsidP="00397459">
            <w:pPr>
              <w:keepNext/>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PRM- </w:t>
            </w:r>
            <w:r w:rsidRPr="00397459">
              <w:rPr>
                <w:rFonts w:ascii="Times New Roman" w:hAnsi="Times New Roman" w:cs="Times New Roman"/>
                <w:b/>
                <w:bCs/>
                <w:color w:val="000000" w:themeColor="text1"/>
              </w:rPr>
              <w:t>Program Level</w:t>
            </w:r>
          </w:p>
          <w:p w14:paraId="00B80C62" w14:textId="757ED734" w:rsidR="00397459" w:rsidRPr="007410E5" w:rsidRDefault="00397459" w:rsidP="00397459">
            <w:pPr>
              <w:keepNext/>
              <w:jc w:val="center"/>
              <w:rPr>
                <w:rFonts w:ascii="Times New Roman" w:hAnsi="Times New Roman" w:cs="Times New Roman"/>
                <w:bCs/>
                <w:color w:val="000000" w:themeColor="text1"/>
              </w:rPr>
            </w:pPr>
            <w:r w:rsidRPr="00397459">
              <w:rPr>
                <w:rFonts w:ascii="Times New Roman" w:hAnsi="Times New Roman" w:cs="Times New Roman"/>
                <w:b/>
                <w:bCs/>
                <w:color w:val="000000" w:themeColor="text1"/>
              </w:rPr>
              <w:t>Student Learning O</w:t>
            </w:r>
            <w:r w:rsidR="00E66270">
              <w:rPr>
                <w:rFonts w:ascii="Times New Roman" w:hAnsi="Times New Roman" w:cs="Times New Roman"/>
                <w:b/>
                <w:bCs/>
                <w:color w:val="000000" w:themeColor="text1"/>
              </w:rPr>
              <w:t>utcomes</w:t>
            </w:r>
          </w:p>
        </w:tc>
        <w:tc>
          <w:tcPr>
            <w:tcW w:w="3150" w:type="dxa"/>
          </w:tcPr>
          <w:p w14:paraId="2FBFC992" w14:textId="07D5ABC9" w:rsidR="00397459" w:rsidRPr="0041671D" w:rsidRDefault="00397459" w:rsidP="00397459">
            <w:pPr>
              <w:jc w:val="center"/>
              <w:rPr>
                <w:b/>
              </w:rPr>
            </w:pPr>
            <w:r>
              <w:rPr>
                <w:b/>
              </w:rPr>
              <w:t>Introduction</w:t>
            </w:r>
          </w:p>
        </w:tc>
        <w:tc>
          <w:tcPr>
            <w:tcW w:w="3330" w:type="dxa"/>
          </w:tcPr>
          <w:p w14:paraId="6BA4A1D5" w14:textId="1B23F604" w:rsidR="00397459" w:rsidRPr="0041671D" w:rsidRDefault="00397459" w:rsidP="00397459">
            <w:pPr>
              <w:jc w:val="center"/>
              <w:rPr>
                <w:b/>
              </w:rPr>
            </w:pPr>
            <w:r>
              <w:rPr>
                <w:b/>
              </w:rPr>
              <w:t>Practicing</w:t>
            </w:r>
          </w:p>
        </w:tc>
        <w:tc>
          <w:tcPr>
            <w:tcW w:w="2757" w:type="dxa"/>
          </w:tcPr>
          <w:p w14:paraId="25E14BC6" w14:textId="0CF12BA4" w:rsidR="00397459" w:rsidRPr="0041671D" w:rsidRDefault="00397459" w:rsidP="00397459">
            <w:pPr>
              <w:jc w:val="center"/>
              <w:rPr>
                <w:b/>
              </w:rPr>
            </w:pPr>
            <w:r>
              <w:rPr>
                <w:b/>
              </w:rPr>
              <w:t>Mastery</w:t>
            </w:r>
          </w:p>
        </w:tc>
      </w:tr>
      <w:tr w:rsidR="00397459" w14:paraId="6CE6FEF5" w14:textId="77777777" w:rsidTr="00397459">
        <w:trPr>
          <w:trHeight w:val="2042"/>
        </w:trPr>
        <w:tc>
          <w:tcPr>
            <w:tcW w:w="4585" w:type="dxa"/>
          </w:tcPr>
          <w:p w14:paraId="6E6DEFFA" w14:textId="77777777" w:rsidR="00397459" w:rsidRDefault="00397459" w:rsidP="00397459">
            <w:pPr>
              <w:keepNext/>
              <w:rPr>
                <w:rFonts w:ascii="Times New Roman" w:hAnsi="Times New Roman" w:cs="Times New Roman"/>
                <w:bCs/>
                <w:color w:val="000000" w:themeColor="text1"/>
              </w:rPr>
            </w:pPr>
            <w:r w:rsidRPr="007410E5">
              <w:rPr>
                <w:rFonts w:ascii="Times New Roman" w:hAnsi="Times New Roman" w:cs="Times New Roman"/>
                <w:bCs/>
                <w:color w:val="000000" w:themeColor="text1"/>
              </w:rPr>
              <w:t xml:space="preserve">7.01 Students graduating from the program shall demonstrate the following entry-level knowledge: </w:t>
            </w:r>
          </w:p>
          <w:p w14:paraId="4E317F9E" w14:textId="40661972" w:rsidR="00397459" w:rsidRPr="0041671D" w:rsidRDefault="00397459" w:rsidP="00397459">
            <w:pPr>
              <w:rPr>
                <w:b/>
              </w:rPr>
            </w:pPr>
            <w:r w:rsidRPr="007410E5">
              <w:rPr>
                <w:rFonts w:ascii="Times New Roman" w:hAnsi="Times New Roman" w:cs="Times New Roman"/>
                <w:bCs/>
                <w:color w:val="000000" w:themeColor="text1"/>
              </w:rPr>
              <w:t>a) the nature and scope of the relevant park, recreation, tourism or related professions and their associated industries</w:t>
            </w:r>
          </w:p>
        </w:tc>
        <w:tc>
          <w:tcPr>
            <w:tcW w:w="3150" w:type="dxa"/>
          </w:tcPr>
          <w:p w14:paraId="5BF9BEFE" w14:textId="24604A7B" w:rsidR="00397459" w:rsidRPr="0041671D" w:rsidRDefault="00AD352E" w:rsidP="00AD352E">
            <w:pPr>
              <w:rPr>
                <w:b/>
              </w:rPr>
            </w:pPr>
            <w:r>
              <w:rPr>
                <w:rFonts w:ascii="Times New Roman" w:hAnsi="Times New Roman" w:cs="Times New Roman"/>
              </w:rPr>
              <w:t>PRM 250</w:t>
            </w:r>
          </w:p>
        </w:tc>
        <w:tc>
          <w:tcPr>
            <w:tcW w:w="3330" w:type="dxa"/>
          </w:tcPr>
          <w:p w14:paraId="1720F403" w14:textId="4595E959" w:rsidR="00397459" w:rsidRPr="0041671D" w:rsidRDefault="00AD352E" w:rsidP="00AD352E">
            <w:pPr>
              <w:rPr>
                <w:b/>
              </w:rPr>
            </w:pPr>
            <w:r>
              <w:rPr>
                <w:rFonts w:ascii="Times New Roman" w:hAnsi="Times New Roman" w:cs="Times New Roman"/>
              </w:rPr>
              <w:t>PRM 254, 255</w:t>
            </w:r>
          </w:p>
        </w:tc>
        <w:tc>
          <w:tcPr>
            <w:tcW w:w="2757" w:type="dxa"/>
          </w:tcPr>
          <w:p w14:paraId="663DD37B" w14:textId="2ACDB086" w:rsidR="00397459" w:rsidRPr="0041671D" w:rsidRDefault="00AD352E" w:rsidP="00AD352E">
            <w:pPr>
              <w:rPr>
                <w:b/>
              </w:rPr>
            </w:pPr>
            <w:r>
              <w:rPr>
                <w:rFonts w:ascii="Times New Roman" w:hAnsi="Times New Roman" w:cs="Times New Roman"/>
              </w:rPr>
              <w:t>PRM 430, 495</w:t>
            </w:r>
          </w:p>
        </w:tc>
      </w:tr>
      <w:tr w:rsidR="00397459" w14:paraId="4AB25CAD" w14:textId="77777777" w:rsidTr="00397459">
        <w:trPr>
          <w:trHeight w:val="1880"/>
        </w:trPr>
        <w:tc>
          <w:tcPr>
            <w:tcW w:w="4585" w:type="dxa"/>
          </w:tcPr>
          <w:p w14:paraId="0261D85C" w14:textId="77777777" w:rsidR="00397459" w:rsidRDefault="00397459" w:rsidP="00397459">
            <w:pPr>
              <w:keepNext/>
              <w:rPr>
                <w:rFonts w:ascii="Times New Roman" w:hAnsi="Times New Roman" w:cs="Times New Roman"/>
                <w:bCs/>
                <w:color w:val="000000" w:themeColor="text1"/>
              </w:rPr>
            </w:pPr>
            <w:r w:rsidRPr="007410E5">
              <w:rPr>
                <w:rFonts w:ascii="Times New Roman" w:hAnsi="Times New Roman" w:cs="Times New Roman"/>
                <w:bCs/>
                <w:color w:val="000000" w:themeColor="text1"/>
              </w:rPr>
              <w:t xml:space="preserve">7.01 Students graduating from the program shall demonstrate the following entry-level knowledge: </w:t>
            </w:r>
          </w:p>
          <w:p w14:paraId="74CFDEB5" w14:textId="1D4F35E4" w:rsidR="00397459" w:rsidRPr="00DA0E07" w:rsidRDefault="00397459" w:rsidP="00397459">
            <w:pPr>
              <w:keepNext/>
              <w:rPr>
                <w:rFonts w:ascii="Times New Roman" w:hAnsi="Times New Roman" w:cs="Times New Roman"/>
                <w:bCs/>
                <w:color w:val="000000" w:themeColor="text1"/>
              </w:rPr>
            </w:pPr>
            <w:r w:rsidRPr="007410E5">
              <w:rPr>
                <w:rFonts w:ascii="Times New Roman" w:hAnsi="Times New Roman" w:cs="Times New Roman"/>
                <w:bCs/>
                <w:color w:val="000000" w:themeColor="text1"/>
              </w:rPr>
              <w:t>b) techniques and processes used by professionals and workers in these industrie</w:t>
            </w:r>
            <w:r>
              <w:rPr>
                <w:rFonts w:ascii="Times New Roman" w:hAnsi="Times New Roman" w:cs="Times New Roman"/>
                <w:bCs/>
                <w:color w:val="000000" w:themeColor="text1"/>
              </w:rPr>
              <w:t>s</w:t>
            </w:r>
          </w:p>
        </w:tc>
        <w:tc>
          <w:tcPr>
            <w:tcW w:w="3150" w:type="dxa"/>
          </w:tcPr>
          <w:p w14:paraId="659FC08F" w14:textId="50006515" w:rsidR="00397459" w:rsidRDefault="00AD352E" w:rsidP="00397459">
            <w:r>
              <w:rPr>
                <w:rFonts w:ascii="Times New Roman" w:hAnsi="Times New Roman" w:cs="Times New Roman"/>
              </w:rPr>
              <w:t>PRM 250, 260, 270</w:t>
            </w:r>
          </w:p>
        </w:tc>
        <w:tc>
          <w:tcPr>
            <w:tcW w:w="3330" w:type="dxa"/>
          </w:tcPr>
          <w:p w14:paraId="3CAB2310" w14:textId="71B101D4" w:rsidR="00397459" w:rsidRDefault="00AD352E" w:rsidP="00397459">
            <w:r>
              <w:rPr>
                <w:rFonts w:ascii="Times New Roman" w:hAnsi="Times New Roman" w:cs="Times New Roman"/>
              </w:rPr>
              <w:t>PRM 254, 255</w:t>
            </w:r>
          </w:p>
        </w:tc>
        <w:tc>
          <w:tcPr>
            <w:tcW w:w="2757" w:type="dxa"/>
          </w:tcPr>
          <w:p w14:paraId="0C6CF2FC" w14:textId="7C59F43B" w:rsidR="00397459" w:rsidRDefault="00AD352E" w:rsidP="00397459">
            <w:r>
              <w:rPr>
                <w:rFonts w:ascii="Times New Roman" w:hAnsi="Times New Roman" w:cs="Times New Roman"/>
              </w:rPr>
              <w:t>PRM 430</w:t>
            </w:r>
          </w:p>
        </w:tc>
      </w:tr>
      <w:tr w:rsidR="00397459" w14:paraId="1ED7DFAB" w14:textId="77777777" w:rsidTr="00397459">
        <w:trPr>
          <w:trHeight w:val="2051"/>
        </w:trPr>
        <w:tc>
          <w:tcPr>
            <w:tcW w:w="4585" w:type="dxa"/>
          </w:tcPr>
          <w:p w14:paraId="6F674079" w14:textId="77777777" w:rsidR="00397459" w:rsidRDefault="00397459" w:rsidP="00397459">
            <w:pPr>
              <w:keepNext/>
              <w:rPr>
                <w:rFonts w:ascii="Times New Roman" w:hAnsi="Times New Roman" w:cs="Times New Roman"/>
                <w:bCs/>
                <w:color w:val="000000" w:themeColor="text1"/>
              </w:rPr>
            </w:pPr>
            <w:r w:rsidRPr="007410E5">
              <w:rPr>
                <w:rFonts w:ascii="Times New Roman" w:hAnsi="Times New Roman" w:cs="Times New Roman"/>
                <w:bCs/>
                <w:color w:val="000000" w:themeColor="text1"/>
              </w:rPr>
              <w:t xml:space="preserve">7.01 Students graduating from the program shall demonstrate the following entry-level knowledge: </w:t>
            </w:r>
          </w:p>
          <w:p w14:paraId="389A0CED" w14:textId="67214CCD" w:rsidR="00397459" w:rsidRPr="007410E5" w:rsidRDefault="00397459" w:rsidP="00397459">
            <w:pPr>
              <w:keepNext/>
              <w:rPr>
                <w:rFonts w:ascii="Times New Roman" w:hAnsi="Times New Roman" w:cs="Times New Roman"/>
                <w:bCs/>
                <w:color w:val="000000" w:themeColor="text1"/>
              </w:rPr>
            </w:pPr>
            <w:r w:rsidRPr="007410E5">
              <w:rPr>
                <w:rFonts w:ascii="Times New Roman" w:hAnsi="Times New Roman" w:cs="Times New Roman"/>
                <w:bCs/>
                <w:color w:val="000000" w:themeColor="text1"/>
              </w:rPr>
              <w:t>c) the foundation of the profession in history, science and philosophy.</w:t>
            </w:r>
          </w:p>
        </w:tc>
        <w:tc>
          <w:tcPr>
            <w:tcW w:w="3150" w:type="dxa"/>
          </w:tcPr>
          <w:p w14:paraId="08EEA915" w14:textId="74C355FD" w:rsidR="00397459" w:rsidRDefault="00AD352E" w:rsidP="00397459">
            <w:r>
              <w:rPr>
                <w:rFonts w:ascii="Times New Roman" w:hAnsi="Times New Roman" w:cs="Times New Roman"/>
              </w:rPr>
              <w:t xml:space="preserve">PRM </w:t>
            </w:r>
            <w:r w:rsidR="002255FD">
              <w:rPr>
                <w:rFonts w:ascii="Times New Roman" w:hAnsi="Times New Roman" w:cs="Times New Roman"/>
              </w:rPr>
              <w:t xml:space="preserve">250, </w:t>
            </w:r>
            <w:bookmarkStart w:id="0" w:name="_GoBack"/>
            <w:bookmarkEnd w:id="0"/>
            <w:r>
              <w:rPr>
                <w:rFonts w:ascii="Times New Roman" w:hAnsi="Times New Roman" w:cs="Times New Roman"/>
              </w:rPr>
              <w:t>2</w:t>
            </w:r>
            <w:r w:rsidR="00D02BA1">
              <w:rPr>
                <w:rFonts w:ascii="Times New Roman" w:hAnsi="Times New Roman" w:cs="Times New Roman"/>
              </w:rPr>
              <w:t>6</w:t>
            </w:r>
            <w:r>
              <w:rPr>
                <w:rFonts w:ascii="Times New Roman" w:hAnsi="Times New Roman" w:cs="Times New Roman"/>
              </w:rPr>
              <w:t>0, 2</w:t>
            </w:r>
            <w:r w:rsidR="00D02BA1">
              <w:rPr>
                <w:rFonts w:ascii="Times New Roman" w:hAnsi="Times New Roman" w:cs="Times New Roman"/>
              </w:rPr>
              <w:t>7</w:t>
            </w:r>
            <w:r>
              <w:rPr>
                <w:rFonts w:ascii="Times New Roman" w:hAnsi="Times New Roman" w:cs="Times New Roman"/>
              </w:rPr>
              <w:t>0</w:t>
            </w:r>
          </w:p>
        </w:tc>
        <w:tc>
          <w:tcPr>
            <w:tcW w:w="3330" w:type="dxa"/>
          </w:tcPr>
          <w:p w14:paraId="46D93AF5" w14:textId="5FCEEAE3" w:rsidR="00397459" w:rsidRDefault="00AD352E" w:rsidP="00397459">
            <w:r>
              <w:rPr>
                <w:rFonts w:ascii="Times New Roman" w:hAnsi="Times New Roman" w:cs="Times New Roman"/>
              </w:rPr>
              <w:t>PRM 254, 255</w:t>
            </w:r>
          </w:p>
        </w:tc>
        <w:tc>
          <w:tcPr>
            <w:tcW w:w="2757" w:type="dxa"/>
          </w:tcPr>
          <w:p w14:paraId="16B7A8EA" w14:textId="7BD56FCA" w:rsidR="00397459" w:rsidRDefault="00AD352E" w:rsidP="00397459">
            <w:r>
              <w:rPr>
                <w:rFonts w:ascii="Times New Roman" w:hAnsi="Times New Roman" w:cs="Times New Roman"/>
              </w:rPr>
              <w:t>PRM 430</w:t>
            </w:r>
          </w:p>
        </w:tc>
      </w:tr>
      <w:tr w:rsidR="00397459" w14:paraId="7D0746ED" w14:textId="77777777" w:rsidTr="00397459">
        <w:trPr>
          <w:trHeight w:val="2060"/>
        </w:trPr>
        <w:tc>
          <w:tcPr>
            <w:tcW w:w="4585" w:type="dxa"/>
          </w:tcPr>
          <w:p w14:paraId="43DA3BDA" w14:textId="45621C1B" w:rsidR="00397459" w:rsidRPr="007410E5" w:rsidRDefault="00397459" w:rsidP="00397459">
            <w:pPr>
              <w:keepNext/>
              <w:rPr>
                <w:rFonts w:ascii="Times New Roman" w:hAnsi="Times New Roman" w:cs="Times New Roman"/>
                <w:bCs/>
                <w:color w:val="000000" w:themeColor="text1"/>
              </w:rPr>
            </w:pPr>
            <w:r w:rsidRPr="007410E5">
              <w:rPr>
                <w:rFonts w:ascii="Times New Roman" w:hAnsi="Times New Roman" w:cs="Times New Roman"/>
                <w:bCs/>
                <w:color w:val="000000" w:themeColor="text1"/>
              </w:rPr>
              <w:t xml:space="preserve">7.02 Students graduating from the program shall be able to demonstrate the ability to design, implement, and evaluate services that facilitate targeted human experiences and that embrace personal and cultural dimensions of diversity. </w:t>
            </w:r>
          </w:p>
        </w:tc>
        <w:tc>
          <w:tcPr>
            <w:tcW w:w="3150" w:type="dxa"/>
          </w:tcPr>
          <w:p w14:paraId="209F628C" w14:textId="3C318C3C" w:rsidR="00AD352E" w:rsidRPr="00AD352E" w:rsidRDefault="00AD352E" w:rsidP="00AD352E">
            <w:pPr>
              <w:rPr>
                <w:rFonts w:ascii="Times New Roman" w:hAnsi="Times New Roman" w:cs="Times New Roman"/>
              </w:rPr>
            </w:pPr>
            <w:r w:rsidRPr="00AD352E">
              <w:rPr>
                <w:rFonts w:ascii="Times New Roman" w:hAnsi="Times New Roman" w:cs="Times New Roman"/>
              </w:rPr>
              <w:t>PRM 250, 254, 255, 270</w:t>
            </w:r>
          </w:p>
          <w:p w14:paraId="2636E7E6" w14:textId="77777777" w:rsidR="00397459" w:rsidRDefault="00397459" w:rsidP="00397459"/>
        </w:tc>
        <w:tc>
          <w:tcPr>
            <w:tcW w:w="3330" w:type="dxa"/>
          </w:tcPr>
          <w:p w14:paraId="236B23E5" w14:textId="1E7BA791" w:rsidR="00397459" w:rsidRDefault="00AD352E" w:rsidP="00397459">
            <w:r>
              <w:rPr>
                <w:rFonts w:ascii="Times New Roman" w:hAnsi="Times New Roman" w:cs="Times New Roman"/>
              </w:rPr>
              <w:t>PRM 275, 361</w:t>
            </w:r>
          </w:p>
        </w:tc>
        <w:tc>
          <w:tcPr>
            <w:tcW w:w="2757" w:type="dxa"/>
          </w:tcPr>
          <w:p w14:paraId="604CCAA7" w14:textId="29F13B93" w:rsidR="00397459" w:rsidRDefault="00AD352E" w:rsidP="00397459">
            <w:r>
              <w:rPr>
                <w:rFonts w:ascii="Times New Roman" w:hAnsi="Times New Roman" w:cs="Times New Roman"/>
              </w:rPr>
              <w:t>PRM 461</w:t>
            </w:r>
          </w:p>
        </w:tc>
      </w:tr>
      <w:tr w:rsidR="00F8214E" w:rsidRPr="0041671D" w14:paraId="7435C1C7" w14:textId="77777777" w:rsidTr="008C0445">
        <w:trPr>
          <w:trHeight w:val="530"/>
        </w:trPr>
        <w:tc>
          <w:tcPr>
            <w:tcW w:w="4585" w:type="dxa"/>
          </w:tcPr>
          <w:p w14:paraId="2D8ACA74" w14:textId="7A8E1726" w:rsidR="00F8214E" w:rsidRPr="0041671D" w:rsidRDefault="00F8214E" w:rsidP="00397459">
            <w:pPr>
              <w:jc w:val="center"/>
              <w:rPr>
                <w:b/>
              </w:rPr>
            </w:pPr>
            <w:r>
              <w:rPr>
                <w:b/>
              </w:rPr>
              <w:lastRenderedPageBreak/>
              <w:t>2019 PRM Curriculum Map</w:t>
            </w:r>
          </w:p>
        </w:tc>
        <w:tc>
          <w:tcPr>
            <w:tcW w:w="3150" w:type="dxa"/>
          </w:tcPr>
          <w:p w14:paraId="40859537" w14:textId="492D0695" w:rsidR="00F8214E" w:rsidRPr="0041671D" w:rsidRDefault="00F8214E" w:rsidP="00397459">
            <w:pPr>
              <w:jc w:val="center"/>
              <w:rPr>
                <w:b/>
              </w:rPr>
            </w:pPr>
            <w:r>
              <w:rPr>
                <w:b/>
              </w:rPr>
              <w:t>Core PRM Courses</w:t>
            </w:r>
          </w:p>
        </w:tc>
        <w:tc>
          <w:tcPr>
            <w:tcW w:w="3330" w:type="dxa"/>
          </w:tcPr>
          <w:p w14:paraId="5FBA26FC" w14:textId="1956A6D2" w:rsidR="00F8214E" w:rsidRPr="0041671D" w:rsidRDefault="00F8214E" w:rsidP="00397459">
            <w:pPr>
              <w:jc w:val="center"/>
              <w:rPr>
                <w:b/>
              </w:rPr>
            </w:pPr>
            <w:r>
              <w:rPr>
                <w:b/>
              </w:rPr>
              <w:t>Core PRM Courses</w:t>
            </w:r>
          </w:p>
        </w:tc>
        <w:tc>
          <w:tcPr>
            <w:tcW w:w="2757" w:type="dxa"/>
          </w:tcPr>
          <w:p w14:paraId="037680BF" w14:textId="5C04E217" w:rsidR="00F8214E" w:rsidRPr="0041671D" w:rsidRDefault="00F8214E" w:rsidP="00397459">
            <w:pPr>
              <w:jc w:val="center"/>
              <w:rPr>
                <w:b/>
              </w:rPr>
            </w:pPr>
            <w:r>
              <w:rPr>
                <w:b/>
              </w:rPr>
              <w:t>Core PRM Courses</w:t>
            </w:r>
          </w:p>
        </w:tc>
      </w:tr>
      <w:tr w:rsidR="00397459" w:rsidRPr="0041671D" w14:paraId="5C604FB8" w14:textId="77777777" w:rsidTr="008C0445">
        <w:trPr>
          <w:trHeight w:val="530"/>
        </w:trPr>
        <w:tc>
          <w:tcPr>
            <w:tcW w:w="4585" w:type="dxa"/>
          </w:tcPr>
          <w:p w14:paraId="59C79370" w14:textId="77777777" w:rsidR="00397459" w:rsidRDefault="00397459" w:rsidP="00397459">
            <w:pPr>
              <w:jc w:val="center"/>
              <w:rPr>
                <w:b/>
              </w:rPr>
            </w:pPr>
            <w:r w:rsidRPr="0041671D">
              <w:rPr>
                <w:b/>
              </w:rPr>
              <w:t xml:space="preserve">Program </w:t>
            </w:r>
            <w:r>
              <w:rPr>
                <w:b/>
              </w:rPr>
              <w:t>Level</w:t>
            </w:r>
          </w:p>
          <w:p w14:paraId="5870203B" w14:textId="0A3154ED" w:rsidR="00397459" w:rsidRPr="0041671D" w:rsidRDefault="00397459" w:rsidP="00397459">
            <w:pPr>
              <w:jc w:val="center"/>
              <w:rPr>
                <w:b/>
              </w:rPr>
            </w:pPr>
            <w:r w:rsidRPr="0041671D">
              <w:rPr>
                <w:b/>
              </w:rPr>
              <w:t>Student Learning O</w:t>
            </w:r>
            <w:r w:rsidR="00E66270">
              <w:rPr>
                <w:b/>
              </w:rPr>
              <w:t>utcomes</w:t>
            </w:r>
          </w:p>
        </w:tc>
        <w:tc>
          <w:tcPr>
            <w:tcW w:w="3150" w:type="dxa"/>
          </w:tcPr>
          <w:p w14:paraId="60914A87" w14:textId="77777777" w:rsidR="00397459" w:rsidRPr="0041671D" w:rsidRDefault="00397459" w:rsidP="00397459">
            <w:pPr>
              <w:jc w:val="center"/>
              <w:rPr>
                <w:b/>
              </w:rPr>
            </w:pPr>
            <w:r w:rsidRPr="0041671D">
              <w:rPr>
                <w:b/>
              </w:rPr>
              <w:t>Introduction</w:t>
            </w:r>
          </w:p>
        </w:tc>
        <w:tc>
          <w:tcPr>
            <w:tcW w:w="3330" w:type="dxa"/>
          </w:tcPr>
          <w:p w14:paraId="40E507BE" w14:textId="77777777" w:rsidR="00397459" w:rsidRPr="0041671D" w:rsidRDefault="00397459" w:rsidP="00397459">
            <w:pPr>
              <w:jc w:val="center"/>
              <w:rPr>
                <w:b/>
              </w:rPr>
            </w:pPr>
            <w:r w:rsidRPr="0041671D">
              <w:rPr>
                <w:b/>
              </w:rPr>
              <w:t>Practicing</w:t>
            </w:r>
          </w:p>
        </w:tc>
        <w:tc>
          <w:tcPr>
            <w:tcW w:w="2757" w:type="dxa"/>
          </w:tcPr>
          <w:p w14:paraId="2D66D0AD" w14:textId="77777777" w:rsidR="00397459" w:rsidRPr="0041671D" w:rsidRDefault="00397459" w:rsidP="00397459">
            <w:pPr>
              <w:jc w:val="center"/>
              <w:rPr>
                <w:b/>
              </w:rPr>
            </w:pPr>
            <w:r w:rsidRPr="0041671D">
              <w:rPr>
                <w:b/>
              </w:rPr>
              <w:t>Mastery</w:t>
            </w:r>
          </w:p>
        </w:tc>
      </w:tr>
      <w:tr w:rsidR="00397459" w14:paraId="14A906FD" w14:textId="77777777" w:rsidTr="00DA0E07">
        <w:trPr>
          <w:trHeight w:val="1844"/>
        </w:trPr>
        <w:tc>
          <w:tcPr>
            <w:tcW w:w="4585" w:type="dxa"/>
          </w:tcPr>
          <w:p w14:paraId="379A3C5A" w14:textId="183CCD6A" w:rsidR="00397459" w:rsidRPr="00DA0E07" w:rsidRDefault="00397459" w:rsidP="00397459">
            <w:pPr>
              <w:keepNext/>
              <w:rPr>
                <w:rFonts w:ascii="Times New Roman" w:hAnsi="Times New Roman" w:cs="Times New Roman"/>
                <w:bCs/>
                <w:color w:val="000000" w:themeColor="text1"/>
              </w:rPr>
            </w:pPr>
            <w:r w:rsidRPr="007410E5">
              <w:rPr>
                <w:rFonts w:ascii="Times New Roman" w:hAnsi="Times New Roman" w:cs="Times New Roman"/>
                <w:bCs/>
                <w:color w:val="000000" w:themeColor="text1"/>
              </w:rPr>
              <w:t xml:space="preserve">7.03 Students graduating from the program shall be able to demonstrate entry-level knowledge about operations and strategic management/administration in parks, recreation, tourism and/or related professions. </w:t>
            </w:r>
          </w:p>
        </w:tc>
        <w:tc>
          <w:tcPr>
            <w:tcW w:w="3150" w:type="dxa"/>
          </w:tcPr>
          <w:p w14:paraId="330A2AED" w14:textId="78F12086" w:rsidR="00397459" w:rsidRDefault="00AD352E" w:rsidP="00397459">
            <w:r>
              <w:rPr>
                <w:rFonts w:ascii="Times New Roman" w:hAnsi="Times New Roman" w:cs="Times New Roman"/>
              </w:rPr>
              <w:t>PRM 254, 255</w:t>
            </w:r>
          </w:p>
        </w:tc>
        <w:tc>
          <w:tcPr>
            <w:tcW w:w="3330" w:type="dxa"/>
          </w:tcPr>
          <w:p w14:paraId="281DA4F5" w14:textId="219BBF5A" w:rsidR="00397459" w:rsidRDefault="00AD352E" w:rsidP="00397459">
            <w:r>
              <w:rPr>
                <w:rFonts w:ascii="Times New Roman" w:hAnsi="Times New Roman" w:cs="Times New Roman"/>
              </w:rPr>
              <w:t>PRM 361</w:t>
            </w:r>
          </w:p>
        </w:tc>
        <w:tc>
          <w:tcPr>
            <w:tcW w:w="2757" w:type="dxa"/>
          </w:tcPr>
          <w:p w14:paraId="144E2333" w14:textId="651E8173" w:rsidR="00397459" w:rsidRDefault="00AD352E" w:rsidP="00397459">
            <w:r>
              <w:rPr>
                <w:rFonts w:ascii="Times New Roman" w:hAnsi="Times New Roman" w:cs="Times New Roman"/>
              </w:rPr>
              <w:t>PRM 430, 461</w:t>
            </w:r>
          </w:p>
        </w:tc>
      </w:tr>
      <w:tr w:rsidR="00397459" w14:paraId="55D67DD0" w14:textId="77777777" w:rsidTr="00DA0E07">
        <w:trPr>
          <w:trHeight w:val="1790"/>
        </w:trPr>
        <w:tc>
          <w:tcPr>
            <w:tcW w:w="4585" w:type="dxa"/>
          </w:tcPr>
          <w:p w14:paraId="337DD8E0" w14:textId="13D6880C" w:rsidR="00397459" w:rsidRPr="00DA0E07" w:rsidRDefault="00397459" w:rsidP="00397459">
            <w:pPr>
              <w:keepNext/>
              <w:rPr>
                <w:rFonts w:ascii="Times New Roman" w:hAnsi="Times New Roman" w:cs="Times New Roman"/>
                <w:bCs/>
                <w:color w:val="000000" w:themeColor="text1"/>
              </w:rPr>
            </w:pPr>
            <w:r w:rsidRPr="007410E5">
              <w:rPr>
                <w:rFonts w:ascii="Times New Roman" w:hAnsi="Times New Roman" w:cs="Times New Roman"/>
                <w:bCs/>
                <w:color w:val="000000" w:themeColor="text1"/>
              </w:rPr>
              <w:t xml:space="preserve">7.04 Students graduating from the program shall demonstrate, through a comprehensive internship of not less than 400 clock hours and no fewer than 10 weeks, the potential to succeed as professionals at supervisory or higher levels in park, recreation, tourism, or related organizations. </w:t>
            </w:r>
          </w:p>
        </w:tc>
        <w:tc>
          <w:tcPr>
            <w:tcW w:w="3150" w:type="dxa"/>
          </w:tcPr>
          <w:p w14:paraId="7DF5CF5B" w14:textId="04101DA2" w:rsidR="00397459" w:rsidRDefault="00AD352E" w:rsidP="00397459">
            <w:r>
              <w:rPr>
                <w:rFonts w:ascii="Times New Roman" w:hAnsi="Times New Roman" w:cs="Times New Roman"/>
              </w:rPr>
              <w:t>PRM 260</w:t>
            </w:r>
          </w:p>
        </w:tc>
        <w:tc>
          <w:tcPr>
            <w:tcW w:w="3330" w:type="dxa"/>
          </w:tcPr>
          <w:p w14:paraId="5A20C8EC" w14:textId="3212E7FD" w:rsidR="00397459" w:rsidRDefault="00AD352E" w:rsidP="00397459">
            <w:r>
              <w:rPr>
                <w:rFonts w:ascii="Times New Roman" w:hAnsi="Times New Roman" w:cs="Times New Roman"/>
              </w:rPr>
              <w:t>PRM 370</w:t>
            </w:r>
          </w:p>
        </w:tc>
        <w:tc>
          <w:tcPr>
            <w:tcW w:w="2757" w:type="dxa"/>
          </w:tcPr>
          <w:p w14:paraId="36C8F11C" w14:textId="03760636" w:rsidR="00397459" w:rsidRDefault="00AD352E" w:rsidP="00397459">
            <w:r>
              <w:rPr>
                <w:rFonts w:ascii="Times New Roman" w:hAnsi="Times New Roman" w:cs="Times New Roman"/>
              </w:rPr>
              <w:t>PRM 483/4</w:t>
            </w:r>
          </w:p>
        </w:tc>
      </w:tr>
    </w:tbl>
    <w:p w14:paraId="059314E2" w14:textId="77777777" w:rsidR="00AD6135" w:rsidRDefault="002255FD"/>
    <w:sectPr w:rsidR="00AD6135" w:rsidSect="0041671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14089"/>
    <w:multiLevelType w:val="hybridMultilevel"/>
    <w:tmpl w:val="F576697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71D"/>
    <w:rsid w:val="002255FD"/>
    <w:rsid w:val="00397459"/>
    <w:rsid w:val="003E1614"/>
    <w:rsid w:val="0041671D"/>
    <w:rsid w:val="00591E8F"/>
    <w:rsid w:val="00AD352E"/>
    <w:rsid w:val="00D02BA1"/>
    <w:rsid w:val="00DA0E07"/>
    <w:rsid w:val="00DD0769"/>
    <w:rsid w:val="00E66270"/>
    <w:rsid w:val="00F8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0089E1"/>
  <w15:chartTrackingRefBased/>
  <w15:docId w15:val="{3BDE9465-CC22-B54D-9910-69650ECF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6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Bobilya</dc:creator>
  <cp:keywords/>
  <dc:description/>
  <cp:lastModifiedBy>Jeremy Schultz</cp:lastModifiedBy>
  <cp:revision>8</cp:revision>
  <dcterms:created xsi:type="dcterms:W3CDTF">2019-02-01T13:08:00Z</dcterms:created>
  <dcterms:modified xsi:type="dcterms:W3CDTF">2019-08-30T17:57:00Z</dcterms:modified>
</cp:coreProperties>
</file>